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EFED9">
      <w:pPr>
        <w:jc w:val="center"/>
        <w:rPr>
          <w:b/>
          <w:bCs/>
          <w:sz w:val="28"/>
          <w:szCs w:val="28"/>
        </w:rPr>
      </w:pPr>
      <w:r>
        <w:rPr>
          <w:rFonts w:hint="eastAsia"/>
          <w:b/>
          <w:bCs/>
          <w:sz w:val="28"/>
          <w:szCs w:val="28"/>
        </w:rPr>
        <w:t>年产200万米高档奢侈品面料智能工厂项目环境影响报告书</w:t>
      </w:r>
    </w:p>
    <w:p w14:paraId="58167652">
      <w:pPr>
        <w:jc w:val="center"/>
        <w:rPr>
          <w:b/>
          <w:bCs/>
          <w:sz w:val="28"/>
          <w:szCs w:val="28"/>
        </w:rPr>
      </w:pPr>
      <w:r>
        <w:rPr>
          <w:rFonts w:hint="eastAsia"/>
          <w:b/>
          <w:bCs/>
          <w:sz w:val="28"/>
          <w:szCs w:val="28"/>
        </w:rPr>
        <w:t>环境影响评价信息公示</w:t>
      </w:r>
    </w:p>
    <w:p w14:paraId="5FD17E15">
      <w:pPr>
        <w:pStyle w:val="5"/>
      </w:pPr>
      <w:r>
        <w:rPr>
          <w:rFonts w:hint="eastAsia"/>
        </w:rPr>
        <w:t>根据《浙江省建设项目环境保护管理办法》（2021修正版，浙江省人民政府令第388号）规定，为使各社会团体及群众了解、参与本项目的环境影响评价工作，予以公示如下，欢迎企事业单位、社会团体、人民群众对本项目的环保问题提出宝贵意见和建议：</w:t>
      </w:r>
    </w:p>
    <w:p w14:paraId="3F8E2FB9">
      <w:pPr>
        <w:rPr>
          <w:b/>
          <w:bCs/>
        </w:rPr>
      </w:pPr>
      <w:r>
        <w:rPr>
          <w:rFonts w:hint="eastAsia"/>
          <w:b/>
          <w:bCs/>
        </w:rPr>
        <w:t>一、建设项目基本情况</w:t>
      </w:r>
    </w:p>
    <w:p w14:paraId="637E4437">
      <w:pPr>
        <w:pStyle w:val="32"/>
        <w:ind w:firstLine="480"/>
        <w:rPr>
          <w:color w:val="000000" w:themeColor="text1"/>
          <w14:textFill>
            <w14:solidFill>
              <w14:schemeClr w14:val="tx1"/>
            </w14:solidFill>
          </w14:textFill>
        </w:rPr>
      </w:pPr>
      <w:r>
        <w:rPr>
          <w:color w:val="000000" w:themeColor="text1"/>
          <w14:textFill>
            <w14:solidFill>
              <w14:schemeClr w14:val="tx1"/>
            </w14:solidFill>
          </w14:textFill>
        </w:rPr>
        <w:t>项目名称：</w:t>
      </w:r>
      <w:r>
        <w:rPr>
          <w:rFonts w:hint="eastAsia"/>
          <w:color w:val="000000" w:themeColor="text1"/>
          <w14:textFill>
            <w14:solidFill>
              <w14:schemeClr w14:val="tx1"/>
            </w14:solidFill>
          </w14:textFill>
        </w:rPr>
        <w:t>年产200万米高档奢侈品面料智能工厂项目</w:t>
      </w:r>
    </w:p>
    <w:p w14:paraId="3AC0B027">
      <w:pPr>
        <w:pStyle w:val="32"/>
        <w:ind w:firstLine="480"/>
        <w:rPr>
          <w:color w:val="000000" w:themeColor="text1"/>
          <w14:textFill>
            <w14:solidFill>
              <w14:schemeClr w14:val="tx1"/>
            </w14:solidFill>
          </w14:textFill>
        </w:rPr>
      </w:pPr>
      <w:r>
        <w:rPr>
          <w:color w:val="000000" w:themeColor="text1"/>
          <w14:textFill>
            <w14:solidFill>
              <w14:schemeClr w14:val="tx1"/>
            </w14:solidFill>
          </w14:textFill>
        </w:rPr>
        <w:t>项目性质：</w:t>
      </w:r>
      <w:r>
        <w:rPr>
          <w:rFonts w:hint="eastAsia"/>
          <w:color w:val="000000" w:themeColor="text1"/>
          <w14:textFill>
            <w14:solidFill>
              <w14:schemeClr w14:val="tx1"/>
            </w14:solidFill>
          </w14:textFill>
        </w:rPr>
        <w:t>技改</w:t>
      </w:r>
    </w:p>
    <w:p w14:paraId="132FDF6C">
      <w:pPr>
        <w:pStyle w:val="32"/>
        <w:ind w:firstLine="480"/>
        <w:rPr>
          <w:color w:val="000000" w:themeColor="text1"/>
          <w14:textFill>
            <w14:solidFill>
              <w14:schemeClr w14:val="tx1"/>
            </w14:solidFill>
          </w14:textFill>
        </w:rPr>
      </w:pPr>
      <w:r>
        <w:rPr>
          <w:color w:val="000000" w:themeColor="text1"/>
          <w14:textFill>
            <w14:solidFill>
              <w14:schemeClr w14:val="tx1"/>
            </w14:solidFill>
          </w14:textFill>
        </w:rPr>
        <w:t>建设地点：</w:t>
      </w:r>
      <w:r>
        <w:rPr>
          <w:rFonts w:hint="eastAsia"/>
          <w:color w:val="000000" w:themeColor="text1"/>
          <w14:textFill>
            <w14:solidFill>
              <w14:schemeClr w14:val="tx1"/>
            </w14:solidFill>
          </w14:textFill>
        </w:rPr>
        <w:t>宁波石化开发区镇浦路2088号</w:t>
      </w:r>
    </w:p>
    <w:p w14:paraId="394BF206">
      <w:pPr>
        <w:pStyle w:val="32"/>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工程投资：本项目总投资约3085万元。</w:t>
      </w:r>
    </w:p>
    <w:p w14:paraId="6BDD930A">
      <w:pPr>
        <w:pStyle w:val="32"/>
        <w:ind w:firstLine="480"/>
        <w:rPr>
          <w:color w:val="000000" w:themeColor="text1"/>
          <w14:textFill>
            <w14:solidFill>
              <w14:schemeClr w14:val="tx1"/>
            </w14:solidFill>
          </w14:textFill>
        </w:rPr>
      </w:pPr>
      <w:r>
        <w:rPr>
          <w:color w:val="000000" w:themeColor="text1"/>
          <w14:textFill>
            <w14:solidFill>
              <w14:schemeClr w14:val="tx1"/>
            </w14:solidFill>
          </w14:textFill>
        </w:rPr>
        <w:t>建设内容：</w:t>
      </w:r>
      <w:r>
        <w:rPr>
          <w:rFonts w:hint="eastAsia"/>
          <w:color w:val="000000" w:themeColor="text1"/>
          <w14:textFill>
            <w14:solidFill>
              <w14:schemeClr w14:val="tx1"/>
            </w14:solidFill>
          </w14:textFill>
        </w:rPr>
        <w:t>利用现有厂房的基础上，在厂区西侧新建约1302m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厂房，淘汰原有厂区的所有设备，改变产品类型，以适应市场需求。技改后主要从事粗纺毛织物、精纺毛织物等高档奢侈品面料（羊绒面料）的生产，全厂可形成年产200万米高档奢侈品面料的生产能力。</w:t>
      </w:r>
    </w:p>
    <w:p w14:paraId="0540390C">
      <w:pPr>
        <w:pStyle w:val="5"/>
        <w:rPr>
          <w:color w:val="auto"/>
        </w:rPr>
      </w:pPr>
      <w:r>
        <w:rPr>
          <w:rFonts w:hint="eastAsia"/>
          <w:color w:val="auto"/>
        </w:rPr>
        <w:t>计划建设起止时间</w:t>
      </w:r>
      <w:r>
        <w:rPr>
          <w:color w:val="auto"/>
        </w:rPr>
        <w:t>：</w:t>
      </w:r>
      <w:r>
        <w:rPr>
          <w:rFonts w:hint="eastAsia"/>
          <w:color w:val="auto"/>
        </w:rPr>
        <w:t>计划</w:t>
      </w:r>
      <w:r>
        <w:rPr>
          <w:color w:val="auto"/>
        </w:rPr>
        <w:t>202</w:t>
      </w:r>
      <w:r>
        <w:rPr>
          <w:rFonts w:hint="eastAsia"/>
          <w:color w:val="auto"/>
        </w:rPr>
        <w:t>6</w:t>
      </w:r>
      <w:r>
        <w:rPr>
          <w:color w:val="auto"/>
        </w:rPr>
        <w:t>年</w:t>
      </w:r>
      <w:r>
        <w:rPr>
          <w:rFonts w:hint="eastAsia"/>
          <w:color w:val="auto"/>
        </w:rPr>
        <w:t>8</w:t>
      </w:r>
      <w:r>
        <w:rPr>
          <w:color w:val="auto"/>
        </w:rPr>
        <w:t>月开工建设，20</w:t>
      </w:r>
      <w:r>
        <w:rPr>
          <w:rFonts w:hint="eastAsia"/>
          <w:color w:val="auto"/>
        </w:rPr>
        <w:t>27</w:t>
      </w:r>
      <w:r>
        <w:rPr>
          <w:color w:val="auto"/>
        </w:rPr>
        <w:t>年</w:t>
      </w:r>
      <w:r>
        <w:rPr>
          <w:rFonts w:hint="eastAsia"/>
          <w:color w:val="auto"/>
        </w:rPr>
        <w:t>12</w:t>
      </w:r>
      <w:r>
        <w:rPr>
          <w:color w:val="auto"/>
        </w:rPr>
        <w:t>月</w:t>
      </w:r>
      <w:r>
        <w:rPr>
          <w:rFonts w:hint="eastAsia"/>
          <w:color w:val="auto"/>
        </w:rPr>
        <w:t>完工，总工期16个月</w:t>
      </w:r>
      <w:r>
        <w:rPr>
          <w:color w:val="auto"/>
        </w:rPr>
        <w:t>。</w:t>
      </w:r>
    </w:p>
    <w:p w14:paraId="1732183C">
      <w:pPr>
        <w:rPr>
          <w:b/>
          <w:bCs/>
        </w:rPr>
      </w:pPr>
      <w:r>
        <w:rPr>
          <w:rFonts w:hint="eastAsia"/>
          <w:b/>
          <w:bCs/>
        </w:rPr>
        <w:t>二、环境影响评价范围内主</w:t>
      </w:r>
      <w:bookmarkStart w:id="0" w:name="_GoBack"/>
      <w:bookmarkEnd w:id="0"/>
      <w:r>
        <w:rPr>
          <w:rFonts w:hint="eastAsia"/>
          <w:b/>
          <w:bCs/>
        </w:rPr>
        <w:t>要敏感目标分布情况</w:t>
      </w:r>
    </w:p>
    <w:p w14:paraId="6B3F3CA3">
      <w:pPr>
        <w:pStyle w:val="5"/>
      </w:pPr>
      <w:r>
        <w:rPr>
          <w:rFonts w:hint="eastAsia"/>
        </w:rPr>
        <w:t>本项目各项环境要素评价范围内的保护目标分布详见表1。</w:t>
      </w:r>
    </w:p>
    <w:p w14:paraId="360B7C04">
      <w:pPr>
        <w:pStyle w:val="23"/>
        <w:spacing w:line="240" w:lineRule="auto"/>
      </w:pPr>
      <w:r>
        <w:rPr>
          <w:rFonts w:hint="eastAsia"/>
        </w:rPr>
        <w:t>表1  本项目各项环境要素评价范围内保护目标情况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0"/>
        <w:gridCol w:w="6052"/>
      </w:tblGrid>
      <w:tr w14:paraId="6EEF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pct"/>
            <w:vAlign w:val="center"/>
          </w:tcPr>
          <w:p w14:paraId="6B8880F1">
            <w:pPr>
              <w:pStyle w:val="21"/>
            </w:pPr>
            <w:r>
              <w:rPr>
                <w:rFonts w:hint="eastAsia"/>
              </w:rPr>
              <w:t>环境要素评价范围</w:t>
            </w:r>
          </w:p>
        </w:tc>
        <w:tc>
          <w:tcPr>
            <w:tcW w:w="3550" w:type="pct"/>
            <w:vAlign w:val="center"/>
          </w:tcPr>
          <w:p w14:paraId="574375DE">
            <w:pPr>
              <w:pStyle w:val="21"/>
            </w:pPr>
            <w:r>
              <w:rPr>
                <w:rFonts w:hint="eastAsia"/>
              </w:rPr>
              <w:t>保护目标分布情况</w:t>
            </w:r>
          </w:p>
        </w:tc>
      </w:tr>
      <w:tr w14:paraId="612F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pct"/>
            <w:vAlign w:val="center"/>
          </w:tcPr>
          <w:p w14:paraId="7DDD8A30">
            <w:pPr>
              <w:pStyle w:val="21"/>
            </w:pPr>
            <w:r>
              <w:rPr>
                <w:rFonts w:hint="eastAsia"/>
              </w:rPr>
              <w:t>大气环境评价范围内</w:t>
            </w:r>
          </w:p>
        </w:tc>
        <w:tc>
          <w:tcPr>
            <w:tcW w:w="3550" w:type="pct"/>
            <w:vAlign w:val="center"/>
          </w:tcPr>
          <w:p w14:paraId="602ED645">
            <w:pPr>
              <w:pStyle w:val="21"/>
              <w:rPr>
                <w:color w:val="auto"/>
              </w:rPr>
            </w:pPr>
            <w:r>
              <w:rPr>
                <w:rFonts w:hint="eastAsia"/>
                <w:color w:val="auto"/>
              </w:rPr>
              <w:t>南洪小区</w:t>
            </w:r>
            <w:r>
              <w:rPr>
                <w:rFonts w:hint="eastAsia"/>
                <w:color w:val="auto"/>
                <w:lang w:eastAsia="zh-CN"/>
              </w:rPr>
              <w:t>、</w:t>
            </w:r>
            <w:r>
              <w:rPr>
                <w:rFonts w:hint="eastAsia"/>
                <w:color w:val="auto"/>
              </w:rPr>
              <w:t>在建保障性租赁住房</w:t>
            </w:r>
            <w:r>
              <w:rPr>
                <w:rFonts w:hint="eastAsia"/>
                <w:color w:val="auto"/>
                <w:lang w:eastAsia="zh-CN"/>
              </w:rPr>
              <w:t>、</w:t>
            </w:r>
            <w:r>
              <w:rPr>
                <w:rFonts w:hint="eastAsia"/>
                <w:color w:val="auto"/>
              </w:rPr>
              <w:t>爱德堡幼儿园</w:t>
            </w:r>
            <w:r>
              <w:rPr>
                <w:rFonts w:hint="eastAsia"/>
                <w:color w:val="auto"/>
                <w:lang w:eastAsia="zh-CN"/>
              </w:rPr>
              <w:t>、</w:t>
            </w:r>
            <w:r>
              <w:rPr>
                <w:rFonts w:hint="eastAsia"/>
                <w:color w:val="auto"/>
              </w:rPr>
              <w:t>丰颐家园</w:t>
            </w:r>
            <w:r>
              <w:rPr>
                <w:rFonts w:hint="eastAsia"/>
                <w:color w:val="auto"/>
                <w:lang w:eastAsia="zh-CN"/>
              </w:rPr>
              <w:t>、</w:t>
            </w:r>
            <w:r>
              <w:rPr>
                <w:rFonts w:hint="eastAsia"/>
                <w:color w:val="auto"/>
              </w:rPr>
              <w:t>棉丰育苗幼儿园</w:t>
            </w:r>
            <w:r>
              <w:rPr>
                <w:rFonts w:hint="eastAsia"/>
                <w:color w:val="auto"/>
                <w:lang w:eastAsia="zh-CN"/>
              </w:rPr>
              <w:t>、</w:t>
            </w:r>
            <w:r>
              <w:rPr>
                <w:rFonts w:hint="eastAsia"/>
                <w:color w:val="auto"/>
              </w:rPr>
              <w:t>炼化小学棉丰</w:t>
            </w:r>
            <w:r>
              <w:rPr>
                <w:rFonts w:hint="eastAsia"/>
                <w:color w:val="auto"/>
                <w:lang w:val="en-US" w:eastAsia="zh-CN"/>
              </w:rPr>
              <w:t>校区</w:t>
            </w:r>
            <w:r>
              <w:rPr>
                <w:rFonts w:hint="eastAsia"/>
                <w:color w:val="auto"/>
                <w:lang w:eastAsia="zh-CN"/>
              </w:rPr>
              <w:t>、</w:t>
            </w:r>
            <w:r>
              <w:rPr>
                <w:rFonts w:hint="eastAsia"/>
                <w:color w:val="auto"/>
              </w:rPr>
              <w:t>俞范社区</w:t>
            </w:r>
            <w:r>
              <w:rPr>
                <w:rFonts w:hint="eastAsia"/>
                <w:color w:val="auto"/>
                <w:lang w:eastAsia="zh-CN"/>
              </w:rPr>
              <w:t>、</w:t>
            </w:r>
            <w:r>
              <w:rPr>
                <w:rFonts w:hint="eastAsia"/>
                <w:color w:val="auto"/>
              </w:rPr>
              <w:t>炼化社区</w:t>
            </w:r>
            <w:r>
              <w:rPr>
                <w:rFonts w:hint="eastAsia"/>
                <w:color w:val="auto"/>
                <w:lang w:eastAsia="zh-CN"/>
              </w:rPr>
              <w:t>、</w:t>
            </w:r>
            <w:r>
              <w:rPr>
                <w:rFonts w:hint="eastAsia"/>
                <w:color w:val="auto"/>
              </w:rPr>
              <w:t>石化三建社区</w:t>
            </w:r>
            <w:r>
              <w:rPr>
                <w:rFonts w:hint="eastAsia"/>
                <w:color w:val="auto"/>
                <w:lang w:eastAsia="zh-CN"/>
              </w:rPr>
              <w:t>、</w:t>
            </w:r>
            <w:r>
              <w:rPr>
                <w:rFonts w:hint="eastAsia"/>
                <w:color w:val="auto"/>
              </w:rPr>
              <w:t>庙后张新村</w:t>
            </w:r>
            <w:r>
              <w:rPr>
                <w:rFonts w:hint="eastAsia"/>
                <w:color w:val="auto"/>
                <w:lang w:eastAsia="zh-CN"/>
              </w:rPr>
              <w:t>、</w:t>
            </w:r>
            <w:r>
              <w:rPr>
                <w:rFonts w:hint="eastAsia"/>
                <w:color w:val="auto"/>
              </w:rPr>
              <w:t>后施社区</w:t>
            </w:r>
            <w:r>
              <w:rPr>
                <w:rFonts w:hint="eastAsia"/>
                <w:color w:val="auto"/>
                <w:lang w:eastAsia="zh-CN"/>
              </w:rPr>
              <w:t>、</w:t>
            </w:r>
            <w:r>
              <w:rPr>
                <w:rFonts w:hint="eastAsia"/>
                <w:color w:val="auto"/>
              </w:rPr>
              <w:t>兴丰村</w:t>
            </w:r>
            <w:r>
              <w:rPr>
                <w:rFonts w:hint="eastAsia"/>
                <w:color w:val="auto"/>
                <w:lang w:eastAsia="zh-CN"/>
              </w:rPr>
              <w:t>、</w:t>
            </w:r>
            <w:r>
              <w:rPr>
                <w:rFonts w:hint="eastAsia"/>
                <w:color w:val="auto"/>
              </w:rPr>
              <w:t>里洞桥村</w:t>
            </w:r>
          </w:p>
        </w:tc>
      </w:tr>
      <w:tr w14:paraId="7D74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pct"/>
            <w:vAlign w:val="center"/>
          </w:tcPr>
          <w:p w14:paraId="1746855A">
            <w:pPr>
              <w:pStyle w:val="21"/>
            </w:pPr>
            <w:r>
              <w:rPr>
                <w:rFonts w:hint="eastAsia"/>
              </w:rPr>
              <w:t>地表水环境评价范围内</w:t>
            </w:r>
          </w:p>
        </w:tc>
        <w:tc>
          <w:tcPr>
            <w:tcW w:w="3550" w:type="pct"/>
            <w:vAlign w:val="center"/>
          </w:tcPr>
          <w:p w14:paraId="31459969">
            <w:pPr>
              <w:pStyle w:val="21"/>
              <w:rPr>
                <w:color w:val="auto"/>
              </w:rPr>
            </w:pPr>
            <w:r>
              <w:rPr>
                <w:rFonts w:hint="eastAsia"/>
                <w:color w:val="auto"/>
              </w:rPr>
              <w:t>评价范围内无地表水环境保护目标</w:t>
            </w:r>
          </w:p>
        </w:tc>
      </w:tr>
      <w:tr w14:paraId="5808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449" w:type="pct"/>
            <w:vAlign w:val="center"/>
          </w:tcPr>
          <w:p w14:paraId="496E4BA2">
            <w:pPr>
              <w:pStyle w:val="21"/>
            </w:pPr>
            <w:r>
              <w:rPr>
                <w:rFonts w:hint="eastAsia"/>
              </w:rPr>
              <w:t>地下水环境评价范围内</w:t>
            </w:r>
          </w:p>
        </w:tc>
        <w:tc>
          <w:tcPr>
            <w:tcW w:w="3550" w:type="pct"/>
            <w:vAlign w:val="center"/>
          </w:tcPr>
          <w:p w14:paraId="3EE1F5DF">
            <w:pPr>
              <w:pStyle w:val="21"/>
              <w:rPr>
                <w:color w:val="auto"/>
              </w:rPr>
            </w:pPr>
            <w:r>
              <w:rPr>
                <w:rFonts w:hint="eastAsia"/>
                <w:color w:val="auto"/>
              </w:rPr>
              <w:t>评价范围内无</w:t>
            </w:r>
            <w:r>
              <w:rPr>
                <w:rFonts w:hint="eastAsia"/>
                <w:color w:val="auto"/>
                <w:lang w:val="en-US" w:eastAsia="zh-CN"/>
              </w:rPr>
              <w:t>地下</w:t>
            </w:r>
            <w:r>
              <w:rPr>
                <w:rFonts w:hint="eastAsia"/>
                <w:color w:val="auto"/>
              </w:rPr>
              <w:t>水环境保护目标</w:t>
            </w:r>
          </w:p>
        </w:tc>
      </w:tr>
      <w:tr w14:paraId="40ED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pct"/>
            <w:vAlign w:val="center"/>
          </w:tcPr>
          <w:p w14:paraId="05621CE5">
            <w:pPr>
              <w:pStyle w:val="21"/>
            </w:pPr>
            <w:r>
              <w:rPr>
                <w:rFonts w:hint="eastAsia"/>
              </w:rPr>
              <w:t>土壤环境评价范围内</w:t>
            </w:r>
          </w:p>
        </w:tc>
        <w:tc>
          <w:tcPr>
            <w:tcW w:w="3550" w:type="pct"/>
            <w:vAlign w:val="center"/>
          </w:tcPr>
          <w:p w14:paraId="46840668">
            <w:pPr>
              <w:pStyle w:val="21"/>
              <w:rPr>
                <w:color w:val="auto"/>
              </w:rPr>
            </w:pPr>
            <w:r>
              <w:rPr>
                <w:rFonts w:hint="eastAsia"/>
                <w:color w:val="auto"/>
              </w:rPr>
              <w:t>评价范围内无</w:t>
            </w:r>
            <w:r>
              <w:rPr>
                <w:rFonts w:hint="eastAsia"/>
                <w:color w:val="auto"/>
                <w:lang w:val="en-US" w:eastAsia="zh-CN"/>
              </w:rPr>
              <w:t>土壤</w:t>
            </w:r>
            <w:r>
              <w:rPr>
                <w:rFonts w:hint="eastAsia"/>
                <w:color w:val="auto"/>
              </w:rPr>
              <w:t>环境保护目标</w:t>
            </w:r>
          </w:p>
        </w:tc>
      </w:tr>
      <w:tr w14:paraId="766F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pct"/>
            <w:vAlign w:val="center"/>
          </w:tcPr>
          <w:p w14:paraId="0035A23C">
            <w:pPr>
              <w:pStyle w:val="21"/>
            </w:pPr>
            <w:r>
              <w:rPr>
                <w:rFonts w:hint="eastAsia"/>
              </w:rPr>
              <w:t>声环境评价范围内</w:t>
            </w:r>
          </w:p>
        </w:tc>
        <w:tc>
          <w:tcPr>
            <w:tcW w:w="3550" w:type="pct"/>
            <w:vAlign w:val="center"/>
          </w:tcPr>
          <w:p w14:paraId="5A5D0F43">
            <w:pPr>
              <w:pStyle w:val="21"/>
            </w:pPr>
            <w:r>
              <w:rPr>
                <w:rFonts w:hint="eastAsia"/>
              </w:rPr>
              <w:t>评价范围内无声环境保护目标</w:t>
            </w:r>
          </w:p>
        </w:tc>
      </w:tr>
      <w:tr w14:paraId="36F7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pct"/>
            <w:vAlign w:val="center"/>
          </w:tcPr>
          <w:p w14:paraId="1CD4396E">
            <w:pPr>
              <w:pStyle w:val="21"/>
            </w:pPr>
            <w:r>
              <w:rPr>
                <w:rFonts w:hint="eastAsia"/>
              </w:rPr>
              <w:t>生态环境评价范围内</w:t>
            </w:r>
          </w:p>
        </w:tc>
        <w:tc>
          <w:tcPr>
            <w:tcW w:w="3550" w:type="pct"/>
            <w:vAlign w:val="center"/>
          </w:tcPr>
          <w:p w14:paraId="7349BC06">
            <w:pPr>
              <w:pStyle w:val="21"/>
            </w:pPr>
            <w:r>
              <w:rPr>
                <w:rFonts w:hint="eastAsia"/>
              </w:rPr>
              <w:t>评价范围内无生态环境保护目标</w:t>
            </w:r>
          </w:p>
        </w:tc>
      </w:tr>
    </w:tbl>
    <w:p w14:paraId="16AE38FA">
      <w:pPr>
        <w:rPr>
          <w:b/>
          <w:bCs/>
        </w:rPr>
      </w:pPr>
      <w:r>
        <w:rPr>
          <w:rFonts w:hint="eastAsia"/>
          <w:b/>
          <w:bCs/>
        </w:rPr>
        <w:t>三、主要环境影响预测情况</w:t>
      </w:r>
    </w:p>
    <w:p w14:paraId="5ACD013B">
      <w:pPr>
        <w:pStyle w:val="32"/>
        <w:ind w:firstLine="480"/>
      </w:pPr>
      <w:r>
        <w:rPr>
          <w:rFonts w:hint="eastAsia"/>
        </w:rPr>
        <w:t>1、施工期</w:t>
      </w:r>
    </w:p>
    <w:p w14:paraId="167D8215">
      <w:pPr>
        <w:pStyle w:val="32"/>
        <w:ind w:firstLine="480"/>
      </w:pPr>
      <w:r>
        <w:rPr>
          <w:rFonts w:hint="eastAsia"/>
        </w:rPr>
        <w:t>①废气：</w:t>
      </w:r>
      <w:r>
        <w:rPr>
          <w:rFonts w:hint="eastAsia"/>
          <w:color w:val="000000" w:themeColor="text1"/>
          <w14:textFill>
            <w14:solidFill>
              <w14:schemeClr w14:val="tx1"/>
            </w14:solidFill>
          </w14:textFill>
        </w:rPr>
        <w:t>施工扬尘、施工机械设备以及车辆排放的尾气、装潢期废气等经采取本项目提出的污染防治措施后，对工程周边的环境影响较小且是暂时性的，随着施工结束而结束。</w:t>
      </w:r>
    </w:p>
    <w:p w14:paraId="26845F2B">
      <w:pPr>
        <w:pStyle w:val="32"/>
        <w:ind w:firstLine="480"/>
      </w:pPr>
      <w:r>
        <w:rPr>
          <w:rFonts w:hint="eastAsia"/>
        </w:rPr>
        <w:t>②废水：施工生活污水经化粪池处理后排入市政污水管网，施工场地废水以及建筑施工泥浆废水经收集、沉淀后回用于洒水抑尘、施工用水等。落实各项水污染防治措施后，施工废水对周边地表水环境影响较小。</w:t>
      </w:r>
    </w:p>
    <w:p w14:paraId="4A0CE8AF">
      <w:pPr>
        <w:pStyle w:val="32"/>
        <w:ind w:firstLine="480"/>
      </w:pPr>
      <w:r>
        <w:rPr>
          <w:rFonts w:hint="eastAsia"/>
        </w:rPr>
        <w:t>③噪声：通过加强施工管理，合理安排施工作业时间，尤其严格禁止夜间进行高噪声施工作业等措施，</w:t>
      </w:r>
      <w:r>
        <w:rPr>
          <w:color w:val="000000" w:themeColor="text1"/>
          <w14:textFill>
            <w14:solidFill>
              <w14:schemeClr w14:val="tx1"/>
            </w14:solidFill>
          </w14:textFill>
        </w:rPr>
        <w:t>施工期噪声对周边环境影响较小</w:t>
      </w:r>
      <w:r>
        <w:rPr>
          <w:rFonts w:hint="eastAsia"/>
        </w:rPr>
        <w:t>。</w:t>
      </w:r>
    </w:p>
    <w:p w14:paraId="246E0E8F">
      <w:pPr>
        <w:pStyle w:val="32"/>
        <w:ind w:firstLine="480"/>
      </w:pPr>
      <w:r>
        <w:rPr>
          <w:rFonts w:hint="eastAsia"/>
        </w:rPr>
        <w:t>④固废：施工单位规范运输，不能随地洒落物料，不能随意倾倒、堆放建筑垃圾，施工结束后，应及时清运多余或废弃的建筑材料或建筑垃圾，施工队伍的生活垃圾及时收集，由当地环卫部门统一清运，则施工期固废不会对周围环境造成不利影响。</w:t>
      </w:r>
    </w:p>
    <w:p w14:paraId="2DDF32DE">
      <w:pPr>
        <w:pStyle w:val="32"/>
        <w:ind w:firstLine="480"/>
      </w:pPr>
      <w:r>
        <w:rPr>
          <w:rFonts w:hint="eastAsia"/>
        </w:rPr>
        <w:t>⑤生态环境：本项目新建厂房施工在现有厂区内实施，用地面积、工程施工量较小；施工期间按照水土保持管理要求，防止水土流失，则建设期各种施工活动包括厂房建设、管道铺设、施工场地布设、设备安装等对生态影响不大。</w:t>
      </w:r>
    </w:p>
    <w:p w14:paraId="1F3C7067">
      <w:pPr>
        <w:pStyle w:val="32"/>
        <w:ind w:firstLine="480"/>
      </w:pPr>
      <w:r>
        <w:rPr>
          <w:rFonts w:hint="eastAsia"/>
        </w:rPr>
        <w:t>2、营运期</w:t>
      </w:r>
    </w:p>
    <w:p w14:paraId="21405DDB">
      <w:pPr>
        <w:pStyle w:val="32"/>
        <w:ind w:firstLine="480"/>
        <w:rPr>
          <w:color w:val="auto"/>
        </w:rPr>
      </w:pPr>
      <w:r>
        <w:rPr>
          <w:rFonts w:hint="eastAsia"/>
        </w:rPr>
        <w:t>①大气环境影响：企业各工艺废气收集至处理系统处理后高空排放；对污水处理站易产生臭气的处理单元加盖密闭，臭气经收集处理后排放；设置染料助剂调配间，并对房间进行整体抽风，收集气体送至污水站废气处理系统处理；根据估算模式AERSCREEN计算，废气污染物排放最大占标率小于10%，项目大气环境影响评价工作</w:t>
      </w:r>
      <w:r>
        <w:rPr>
          <w:rFonts w:hint="eastAsia"/>
          <w:color w:val="auto"/>
        </w:rPr>
        <w:t>等级为二级，无须设置大气环境防护距离。企业通过加强废气收集、无组织排放管理等，可以使废气异味对环境的影响将至最低程度</w:t>
      </w:r>
    </w:p>
    <w:p w14:paraId="55C4EF6D">
      <w:pPr>
        <w:pStyle w:val="32"/>
        <w:ind w:firstLine="480"/>
        <w:rPr>
          <w:color w:val="auto"/>
        </w:rPr>
      </w:pPr>
      <w:r>
        <w:rPr>
          <w:rFonts w:hint="eastAsia"/>
          <w:color w:val="auto"/>
        </w:rPr>
        <w:t>②地表水环境影响：本项目综合废水经污水站处理达标后50%中水回用，其余废水纳管排放，项目废水处理</w:t>
      </w:r>
      <w:r>
        <w:rPr>
          <w:rFonts w:hint="eastAsia"/>
          <w:color w:val="auto"/>
          <w:lang w:val="en-US" w:eastAsia="zh-CN"/>
        </w:rPr>
        <w:t>采用</w:t>
      </w:r>
      <w:r>
        <w:rPr>
          <w:rFonts w:hint="eastAsia"/>
          <w:color w:val="auto"/>
          <w:lang w:eastAsia="zh-CN"/>
        </w:rPr>
        <w:t>“</w:t>
      </w:r>
      <w:r>
        <w:rPr>
          <w:rFonts w:hint="eastAsia"/>
          <w:color w:val="auto"/>
        </w:rPr>
        <w:t>混凝沉淀+水解酸化+厌氧+接触氧化+高效气浮+RO+臭氧氧化</w:t>
      </w:r>
      <w:r>
        <w:rPr>
          <w:rFonts w:hint="eastAsia"/>
          <w:color w:val="auto"/>
          <w:lang w:eastAsia="zh-CN"/>
        </w:rPr>
        <w:t>”</w:t>
      </w:r>
      <w:r>
        <w:rPr>
          <w:rFonts w:hint="eastAsia"/>
          <w:color w:val="auto"/>
        </w:rPr>
        <w:t>工艺</w:t>
      </w:r>
      <w:r>
        <w:rPr>
          <w:rFonts w:hint="eastAsia"/>
          <w:color w:val="auto"/>
          <w:lang w:eastAsia="zh-CN"/>
        </w:rPr>
        <w:t>，为</w:t>
      </w:r>
      <w:r>
        <w:rPr>
          <w:color w:val="auto"/>
          <w:lang w:val="en-GB"/>
        </w:rPr>
        <w:t>HJ471-2020</w:t>
      </w:r>
      <w:r>
        <w:rPr>
          <w:rFonts w:hint="eastAsia"/>
          <w:color w:val="auto"/>
          <w:lang w:val="en-GB"/>
        </w:rPr>
        <w:t>、</w:t>
      </w:r>
      <w:r>
        <w:rPr>
          <w:rFonts w:hint="eastAsia"/>
          <w:color w:val="auto"/>
        </w:rPr>
        <w:t>HJ 861-2017中的可行技术，污水达标排放对污水处理厂冲击负荷较小，对水环境影响较小。</w:t>
      </w:r>
    </w:p>
    <w:p w14:paraId="5254750C">
      <w:pPr>
        <w:pStyle w:val="32"/>
        <w:ind w:firstLine="480"/>
      </w:pPr>
      <w:r>
        <w:rPr>
          <w:rFonts w:hint="eastAsia"/>
          <w:color w:val="auto"/>
        </w:rPr>
        <w:t>③地下水环境影响：根据预测，本项目非正常工况地下水渗透对周围地下水</w:t>
      </w:r>
      <w:r>
        <w:rPr>
          <w:rFonts w:hint="eastAsia"/>
        </w:rPr>
        <w:t>质量影响较小。通过落实好建设项目的废水分类收集、分质处理设施工作，同时做好厂内污水处理收集处理系统防腐、防渗、防沉降及厂区地面硬化防渗，加强固废堆场和表面处理区的地面防渗工作，非正常工况下污染物对地下水环境的污染可控。</w:t>
      </w:r>
    </w:p>
    <w:p w14:paraId="51F73DEF">
      <w:pPr>
        <w:pStyle w:val="32"/>
        <w:ind w:firstLine="480"/>
      </w:pPr>
      <w:r>
        <w:rPr>
          <w:rFonts w:hint="eastAsia"/>
        </w:rPr>
        <w:t>④声环境影响：根据预测结果，本项目投产后四周厂昼夜噪声预测值能满足《工业企业厂界环境噪声排放标准》（GB12348-2008）3类标准，项目声评价范围内无敏感点，噪声达标排放对环境影响较小。</w:t>
      </w:r>
    </w:p>
    <w:p w14:paraId="0FA1DD0A">
      <w:pPr>
        <w:pStyle w:val="32"/>
        <w:ind w:firstLine="480"/>
      </w:pPr>
      <w:r>
        <w:rPr>
          <w:rFonts w:hint="eastAsia"/>
        </w:rPr>
        <w:t>⑤固废处置与影响：本项目加强管理，按照固体废物的性质进行分类收集和暂存，一般固废暂存场所应满足防渗漏、防雨淋、防扬尘等环境保护要求，危险固废按照《危险废物贮存污染控制标准》（GB18597-2023）执行，即能基本消除对周围环境的不利影响。</w:t>
      </w:r>
    </w:p>
    <w:p w14:paraId="7F21FEEE">
      <w:pPr>
        <w:pStyle w:val="32"/>
        <w:ind w:firstLine="480"/>
      </w:pPr>
      <w:r>
        <w:rPr>
          <w:rFonts w:hint="eastAsia"/>
        </w:rPr>
        <w:fldChar w:fldCharType="begin"/>
      </w:r>
      <w:r>
        <w:rPr>
          <w:rFonts w:hint="eastAsia"/>
        </w:rPr>
        <w:instrText xml:space="preserve"> = 6 \* GB3 \* MERGEFORMAT </w:instrText>
      </w:r>
      <w:r>
        <w:rPr>
          <w:rFonts w:hint="eastAsia"/>
        </w:rPr>
        <w:fldChar w:fldCharType="separate"/>
      </w:r>
      <w:r>
        <w:rPr>
          <w:rFonts w:hint="eastAsia"/>
        </w:rPr>
        <w:t>⑥</w:t>
      </w:r>
      <w:r>
        <w:rPr>
          <w:rFonts w:hint="eastAsia"/>
        </w:rPr>
        <w:fldChar w:fldCharType="end"/>
      </w:r>
      <w:r>
        <w:rPr>
          <w:rFonts w:hint="eastAsia"/>
        </w:rPr>
        <w:t>土壤环境影响：根据预测结果可知，在最不利情况下，各预测年土壤中污染物浓度仍符合GB36600-2018中第二类用地筛选值要求。在落实好废水的收集、输送以及各类固体废物的贮存工作，做好各类设施及地面的防腐、防渗措施的基础上，</w:t>
      </w:r>
      <w:r>
        <w:rPr>
          <w:rFonts w:cs="Times New Roman"/>
          <w:color w:val="000000" w:themeColor="text1"/>
          <w:kern w:val="0"/>
          <w14:textFill>
            <w14:solidFill>
              <w14:schemeClr w14:val="tx1"/>
            </w14:solidFill>
          </w14:textFill>
        </w:rPr>
        <w:t>本项目的建设对土壤环境影响是可接受的</w:t>
      </w:r>
      <w:r>
        <w:rPr>
          <w:rFonts w:hint="eastAsia" w:cs="Times New Roman"/>
          <w:color w:val="000000" w:themeColor="text1"/>
          <w:kern w:val="0"/>
          <w14:textFill>
            <w14:solidFill>
              <w14:schemeClr w14:val="tx1"/>
            </w14:solidFill>
          </w14:textFill>
        </w:rPr>
        <w:t>。</w:t>
      </w:r>
    </w:p>
    <w:p w14:paraId="674CFFF4">
      <w:pPr>
        <w:pStyle w:val="32"/>
        <w:ind w:firstLine="480"/>
      </w:pPr>
      <w:r>
        <w:rPr>
          <w:rFonts w:hint="eastAsia"/>
        </w:rPr>
        <w:fldChar w:fldCharType="begin"/>
      </w:r>
      <w:r>
        <w:rPr>
          <w:rFonts w:hint="eastAsia"/>
        </w:rPr>
        <w:instrText xml:space="preserve"> = 7 \* GB3 \* MERGEFORMAT </w:instrText>
      </w:r>
      <w:r>
        <w:rPr>
          <w:rFonts w:hint="eastAsia"/>
        </w:rPr>
        <w:fldChar w:fldCharType="separate"/>
      </w:r>
      <w:r>
        <w:rPr>
          <w:rFonts w:hint="eastAsia"/>
        </w:rPr>
        <w:t>⑦</w:t>
      </w:r>
      <w:r>
        <w:rPr>
          <w:rFonts w:hint="eastAsia"/>
        </w:rPr>
        <w:fldChar w:fldCharType="end"/>
      </w:r>
      <w:r>
        <w:rPr>
          <w:rFonts w:hint="eastAsia"/>
        </w:rPr>
        <w:t>环境风险：本项目涉及的化学品毒性不大，环境风险潜势为Ⅰ，落实各类风险防范措施后，可以有效降低发生风险事故的概率；</w:t>
      </w:r>
      <w:r>
        <w:rPr>
          <w:rFonts w:hint="eastAsia"/>
          <w:color w:val="000000" w:themeColor="text1"/>
          <w14:textFill>
            <w14:solidFill>
              <w14:schemeClr w14:val="tx1"/>
            </w14:solidFill>
          </w14:textFill>
        </w:rPr>
        <w:t>通过落实应急设施和应急方案、组织定期演习等，可确保一旦发生事故及时落实急救及应急处置，减小二次污染事故</w:t>
      </w:r>
      <w:r>
        <w:rPr>
          <w:rFonts w:hint="eastAsia"/>
        </w:rPr>
        <w:t>，本项目产生的环境风险是可以承受的。</w:t>
      </w:r>
    </w:p>
    <w:p w14:paraId="29371214">
      <w:pPr>
        <w:pStyle w:val="32"/>
        <w:ind w:firstLine="480"/>
        <w:rPr>
          <w:color w:val="auto"/>
        </w:rPr>
      </w:pPr>
      <w:r>
        <w:rPr>
          <w:rFonts w:hint="eastAsia"/>
        </w:rPr>
        <w:fldChar w:fldCharType="begin"/>
      </w:r>
      <w:r>
        <w:rPr>
          <w:rFonts w:hint="eastAsia"/>
        </w:rPr>
        <w:instrText xml:space="preserve"> = 8 \* GB3 \* MERGEFORMAT </w:instrText>
      </w:r>
      <w:r>
        <w:rPr>
          <w:rFonts w:hint="eastAsia"/>
        </w:rPr>
        <w:fldChar w:fldCharType="separate"/>
      </w:r>
      <w:r>
        <w:rPr>
          <w:rFonts w:hint="eastAsia"/>
        </w:rPr>
        <w:t>⑧</w:t>
      </w:r>
      <w:r>
        <w:rPr>
          <w:rFonts w:hint="eastAsia"/>
        </w:rPr>
        <w:fldChar w:fldCharType="end"/>
      </w:r>
      <w:r>
        <w:rPr>
          <w:rFonts w:hint="eastAsia"/>
        </w:rPr>
        <w:t>生态环境</w:t>
      </w:r>
      <w:r>
        <w:rPr>
          <w:rFonts w:hint="eastAsia"/>
          <w:color w:val="auto"/>
        </w:rPr>
        <w:t>影响：本项目</w:t>
      </w:r>
      <w:r>
        <w:rPr>
          <w:rFonts w:hint="eastAsia"/>
          <w:color w:val="auto"/>
          <w:lang w:val="en-US" w:eastAsia="zh-CN"/>
        </w:rPr>
        <w:t>为技改，</w:t>
      </w:r>
      <w:r>
        <w:rPr>
          <w:rFonts w:hint="eastAsia"/>
          <w:color w:val="auto"/>
          <w:lang w:eastAsia="zh-CN"/>
        </w:rPr>
        <w:t>在</w:t>
      </w:r>
      <w:r>
        <w:rPr>
          <w:rFonts w:hint="eastAsia"/>
          <w:color w:val="auto"/>
          <w:lang w:val="en-US" w:eastAsia="zh-CN"/>
        </w:rPr>
        <w:t>现有厂区内实施，不会对区域</w:t>
      </w:r>
      <w:r>
        <w:rPr>
          <w:rFonts w:hint="eastAsia"/>
          <w:color w:val="auto"/>
        </w:rPr>
        <w:t>对自然生态系统整体性、连续性和周围景观造成破坏，对生态环境影响是可以接受的。</w:t>
      </w:r>
    </w:p>
    <w:p w14:paraId="7D10CC2E">
      <w:pPr>
        <w:rPr>
          <w:b/>
          <w:bCs/>
          <w:color w:val="auto"/>
        </w:rPr>
      </w:pPr>
      <w:r>
        <w:rPr>
          <w:rFonts w:hint="eastAsia"/>
          <w:b/>
          <w:bCs/>
          <w:color w:val="auto"/>
        </w:rPr>
        <w:t>四、拟采取的主要环境保护措施、环境风险防范措施以及预期效果</w:t>
      </w:r>
    </w:p>
    <w:p w14:paraId="356AC311">
      <w:pPr>
        <w:pStyle w:val="32"/>
        <w:ind w:firstLine="480"/>
        <w:rPr>
          <w:color w:val="auto"/>
        </w:rPr>
      </w:pPr>
      <w:r>
        <w:rPr>
          <w:rFonts w:hint="eastAsia"/>
          <w:color w:val="auto"/>
        </w:rPr>
        <w:t>本项目环境保护措施主要包括水、气、声、固废、生态环境保护等措施，详见下表。</w:t>
      </w:r>
    </w:p>
    <w:p w14:paraId="468172B9">
      <w:pPr>
        <w:pStyle w:val="23"/>
        <w:spacing w:line="240" w:lineRule="auto"/>
        <w:rPr>
          <w:color w:val="auto"/>
        </w:rPr>
      </w:pPr>
      <w:r>
        <w:rPr>
          <w:rFonts w:hint="eastAsia"/>
          <w:color w:val="auto"/>
        </w:rPr>
        <w:t>表2  本项目环境保护措施一览表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105"/>
        <w:gridCol w:w="5800"/>
        <w:gridCol w:w="1070"/>
      </w:tblGrid>
      <w:tr w14:paraId="2428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14:paraId="13E353B3">
            <w:pPr>
              <w:pStyle w:val="21"/>
              <w:rPr>
                <w:color w:val="auto"/>
              </w:rPr>
            </w:pPr>
            <w:r>
              <w:rPr>
                <w:rFonts w:hint="eastAsia"/>
                <w:color w:val="auto"/>
              </w:rPr>
              <w:t>时期</w:t>
            </w:r>
          </w:p>
        </w:tc>
        <w:tc>
          <w:tcPr>
            <w:tcW w:w="1105" w:type="dxa"/>
            <w:vAlign w:val="center"/>
          </w:tcPr>
          <w:p w14:paraId="1C992A45">
            <w:pPr>
              <w:pStyle w:val="21"/>
              <w:rPr>
                <w:color w:val="auto"/>
              </w:rPr>
            </w:pPr>
            <w:r>
              <w:rPr>
                <w:rFonts w:hint="eastAsia"/>
                <w:color w:val="auto"/>
              </w:rPr>
              <w:t>环境要素</w:t>
            </w:r>
          </w:p>
        </w:tc>
        <w:tc>
          <w:tcPr>
            <w:tcW w:w="5800" w:type="dxa"/>
            <w:vAlign w:val="center"/>
          </w:tcPr>
          <w:p w14:paraId="4BF8BAEF">
            <w:pPr>
              <w:pStyle w:val="21"/>
              <w:rPr>
                <w:color w:val="auto"/>
              </w:rPr>
            </w:pPr>
            <w:r>
              <w:rPr>
                <w:rFonts w:hint="eastAsia"/>
                <w:color w:val="auto"/>
              </w:rPr>
              <w:t>主要防治措施</w:t>
            </w:r>
          </w:p>
        </w:tc>
        <w:tc>
          <w:tcPr>
            <w:tcW w:w="1070" w:type="dxa"/>
            <w:vAlign w:val="center"/>
          </w:tcPr>
          <w:p w14:paraId="49121B96">
            <w:pPr>
              <w:pStyle w:val="21"/>
              <w:rPr>
                <w:color w:val="auto"/>
              </w:rPr>
            </w:pPr>
            <w:r>
              <w:rPr>
                <w:rFonts w:hint="eastAsia"/>
                <w:color w:val="auto"/>
              </w:rPr>
              <w:t>预期效果</w:t>
            </w:r>
          </w:p>
        </w:tc>
      </w:tr>
      <w:tr w14:paraId="2009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restart"/>
            <w:vAlign w:val="center"/>
          </w:tcPr>
          <w:p w14:paraId="2FEA9AA5">
            <w:pPr>
              <w:pStyle w:val="21"/>
              <w:rPr>
                <w:color w:val="auto"/>
              </w:rPr>
            </w:pPr>
            <w:r>
              <w:rPr>
                <w:rFonts w:hint="eastAsia"/>
                <w:color w:val="auto"/>
              </w:rPr>
              <w:t>施工期</w:t>
            </w:r>
          </w:p>
        </w:tc>
        <w:tc>
          <w:tcPr>
            <w:tcW w:w="1105" w:type="dxa"/>
            <w:vAlign w:val="center"/>
          </w:tcPr>
          <w:p w14:paraId="59D4C274">
            <w:pPr>
              <w:pStyle w:val="21"/>
              <w:rPr>
                <w:color w:val="auto"/>
              </w:rPr>
            </w:pPr>
            <w:r>
              <w:rPr>
                <w:rFonts w:hint="eastAsia"/>
                <w:color w:val="auto"/>
              </w:rPr>
              <w:t>大气</w:t>
            </w:r>
          </w:p>
        </w:tc>
        <w:tc>
          <w:tcPr>
            <w:tcW w:w="5800" w:type="dxa"/>
            <w:vAlign w:val="center"/>
          </w:tcPr>
          <w:p w14:paraId="72C04961">
            <w:pPr>
              <w:pStyle w:val="21"/>
              <w:jc w:val="both"/>
              <w:rPr>
                <w:color w:val="auto"/>
              </w:rPr>
            </w:pPr>
            <w:r>
              <w:rPr>
                <w:rFonts w:hint="eastAsia"/>
                <w:color w:val="auto"/>
              </w:rPr>
              <w:t>加强管理，文明施工，建筑材料轻装轻卸；运输石灰、砂石料等易产生扬尘的车辆上应覆盖篷布；临时堆放的土石方、砂料场等必要时应洒水；使用商品混凝土，实施围栏建筑施工，围栏施工率达100%；车辆出入施工场地应采取冲洗等有效措施，防止车轮粘带和沿途洒落泥土污染道路，保持出入口附近无施工污泥；通过加强对施工机械的维护和保养，使用清洁能源等，减少施工机械尾气中污染物的产生及排放。</w:t>
            </w:r>
          </w:p>
        </w:tc>
        <w:tc>
          <w:tcPr>
            <w:tcW w:w="1070" w:type="dxa"/>
            <w:vAlign w:val="center"/>
          </w:tcPr>
          <w:p w14:paraId="785B459B">
            <w:pPr>
              <w:pStyle w:val="21"/>
              <w:rPr>
                <w:color w:val="auto"/>
              </w:rPr>
            </w:pPr>
            <w:r>
              <w:rPr>
                <w:rFonts w:hint="eastAsia"/>
                <w:color w:val="auto"/>
              </w:rPr>
              <w:t>减小影响</w:t>
            </w:r>
          </w:p>
        </w:tc>
      </w:tr>
      <w:tr w14:paraId="0DA0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vAlign w:val="center"/>
          </w:tcPr>
          <w:p w14:paraId="48880D3D">
            <w:pPr>
              <w:pStyle w:val="21"/>
              <w:rPr>
                <w:color w:val="auto"/>
              </w:rPr>
            </w:pPr>
          </w:p>
        </w:tc>
        <w:tc>
          <w:tcPr>
            <w:tcW w:w="1105" w:type="dxa"/>
            <w:vAlign w:val="center"/>
          </w:tcPr>
          <w:p w14:paraId="221E1729">
            <w:pPr>
              <w:pStyle w:val="21"/>
              <w:rPr>
                <w:color w:val="auto"/>
              </w:rPr>
            </w:pPr>
            <w:r>
              <w:rPr>
                <w:rFonts w:hint="eastAsia"/>
                <w:color w:val="auto"/>
              </w:rPr>
              <w:t>地表水</w:t>
            </w:r>
          </w:p>
        </w:tc>
        <w:tc>
          <w:tcPr>
            <w:tcW w:w="5800" w:type="dxa"/>
            <w:vAlign w:val="center"/>
          </w:tcPr>
          <w:p w14:paraId="56C55F07">
            <w:pPr>
              <w:pStyle w:val="21"/>
              <w:jc w:val="both"/>
              <w:rPr>
                <w:color w:val="auto"/>
              </w:rPr>
            </w:pPr>
            <w:r>
              <w:rPr>
                <w:rFonts w:hint="eastAsia"/>
                <w:color w:val="auto"/>
              </w:rPr>
              <w:t>施工废水沉淀处理，车辆冲洗等废水经沉淀处理后用于施工场地和道路喷洒抑尘等；施工人员的生活污水经化粪池处理后排入市政污水管网。</w:t>
            </w:r>
          </w:p>
        </w:tc>
        <w:tc>
          <w:tcPr>
            <w:tcW w:w="1070" w:type="dxa"/>
            <w:vAlign w:val="center"/>
          </w:tcPr>
          <w:p w14:paraId="08B3691F">
            <w:pPr>
              <w:pStyle w:val="21"/>
              <w:rPr>
                <w:color w:val="auto"/>
              </w:rPr>
            </w:pPr>
            <w:r>
              <w:rPr>
                <w:rFonts w:hint="eastAsia"/>
                <w:color w:val="auto"/>
              </w:rPr>
              <w:t>减小影响</w:t>
            </w:r>
          </w:p>
        </w:tc>
      </w:tr>
      <w:tr w14:paraId="745D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vAlign w:val="center"/>
          </w:tcPr>
          <w:p w14:paraId="063CA177">
            <w:pPr>
              <w:pStyle w:val="21"/>
              <w:rPr>
                <w:color w:val="auto"/>
              </w:rPr>
            </w:pPr>
          </w:p>
        </w:tc>
        <w:tc>
          <w:tcPr>
            <w:tcW w:w="1105" w:type="dxa"/>
            <w:vAlign w:val="center"/>
          </w:tcPr>
          <w:p w14:paraId="11043AF7">
            <w:pPr>
              <w:pStyle w:val="21"/>
              <w:rPr>
                <w:color w:val="auto"/>
              </w:rPr>
            </w:pPr>
            <w:r>
              <w:rPr>
                <w:rFonts w:hint="eastAsia"/>
                <w:color w:val="auto"/>
              </w:rPr>
              <w:t>噪声</w:t>
            </w:r>
          </w:p>
        </w:tc>
        <w:tc>
          <w:tcPr>
            <w:tcW w:w="5800" w:type="dxa"/>
            <w:vAlign w:val="center"/>
          </w:tcPr>
          <w:p w14:paraId="1FA4B085">
            <w:pPr>
              <w:pStyle w:val="21"/>
              <w:jc w:val="both"/>
              <w:rPr>
                <w:color w:val="auto"/>
              </w:rPr>
            </w:pPr>
            <w:r>
              <w:rPr>
                <w:rFonts w:hint="eastAsia"/>
                <w:color w:val="auto"/>
                <w:lang w:val="en-US" w:eastAsia="zh-CN"/>
              </w:rPr>
              <w:t>落实《中华人民共和国噪声污染防治法》中</w:t>
            </w:r>
            <w:r>
              <w:rPr>
                <w:rFonts w:hint="eastAsia"/>
                <w:color w:val="auto"/>
              </w:rPr>
              <w:t>建筑施工噪声</w:t>
            </w:r>
            <w:r>
              <w:rPr>
                <w:rFonts w:hint="eastAsia"/>
                <w:color w:val="auto"/>
                <w:lang w:val="en-US" w:eastAsia="zh-CN"/>
              </w:rPr>
              <w:t>污染控制有关规定，</w:t>
            </w:r>
            <w:r>
              <w:rPr>
                <w:rFonts w:hint="eastAsia"/>
                <w:color w:val="auto"/>
              </w:rPr>
              <w:t>采用先进的施工机械和施工工艺，合理安排施工时间，</w:t>
            </w:r>
            <w:r>
              <w:rPr>
                <w:rFonts w:hint="eastAsia"/>
                <w:color w:val="auto"/>
                <w:lang w:val="en-US" w:eastAsia="zh-CN"/>
              </w:rPr>
              <w:t>并</w:t>
            </w:r>
            <w:r>
              <w:rPr>
                <w:rFonts w:hint="eastAsia"/>
                <w:color w:val="auto"/>
              </w:rPr>
              <w:t>采取有效措施减少振动、降低噪声</w:t>
            </w:r>
            <w:r>
              <w:rPr>
                <w:rFonts w:hint="eastAsia"/>
                <w:color w:val="auto"/>
                <w:lang w:eastAsia="zh-CN"/>
              </w:rPr>
              <w:t>，</w:t>
            </w:r>
            <w:r>
              <w:rPr>
                <w:rFonts w:hint="eastAsia"/>
                <w:color w:val="auto"/>
                <w:lang w:val="en-US" w:eastAsia="zh-CN"/>
              </w:rPr>
              <w:t>使施工场界噪声</w:t>
            </w:r>
            <w:r>
              <w:rPr>
                <w:rFonts w:hint="eastAsia"/>
                <w:color w:val="auto"/>
              </w:rPr>
              <w:t>达到《建筑施工噪声排放标准》（GB 12523-2025）的规定</w:t>
            </w:r>
            <w:r>
              <w:rPr>
                <w:rFonts w:hint="eastAsia"/>
                <w:color w:val="auto"/>
                <w:lang w:eastAsia="zh-CN"/>
              </w:rPr>
              <w:t>。</w:t>
            </w:r>
          </w:p>
        </w:tc>
        <w:tc>
          <w:tcPr>
            <w:tcW w:w="1070" w:type="dxa"/>
            <w:vAlign w:val="center"/>
          </w:tcPr>
          <w:p w14:paraId="42C44709">
            <w:pPr>
              <w:pStyle w:val="21"/>
              <w:rPr>
                <w:color w:val="auto"/>
              </w:rPr>
            </w:pPr>
            <w:r>
              <w:rPr>
                <w:rFonts w:hint="eastAsia"/>
                <w:color w:val="auto"/>
              </w:rPr>
              <w:t>减小影响</w:t>
            </w:r>
          </w:p>
        </w:tc>
      </w:tr>
      <w:tr w14:paraId="56B3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vAlign w:val="center"/>
          </w:tcPr>
          <w:p w14:paraId="78F66943">
            <w:pPr>
              <w:pStyle w:val="21"/>
              <w:rPr>
                <w:color w:val="000000" w:themeColor="text1"/>
                <w14:textFill>
                  <w14:solidFill>
                    <w14:schemeClr w14:val="tx1"/>
                  </w14:solidFill>
                </w14:textFill>
              </w:rPr>
            </w:pPr>
          </w:p>
        </w:tc>
        <w:tc>
          <w:tcPr>
            <w:tcW w:w="1105" w:type="dxa"/>
            <w:vAlign w:val="center"/>
          </w:tcPr>
          <w:p w14:paraId="2682B452">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固废</w:t>
            </w:r>
          </w:p>
        </w:tc>
        <w:tc>
          <w:tcPr>
            <w:tcW w:w="5800" w:type="dxa"/>
            <w:vAlign w:val="center"/>
          </w:tcPr>
          <w:p w14:paraId="0DE97A76">
            <w:pPr>
              <w:pStyle w:val="21"/>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施工建筑垃圾、装修垃圾应进行分拣，对废木材、金属、玻璃、塑料等可以回收利用的部分应积极进行综合利用，对不能利用的建筑垃圾送至城管部门指定的地点堆放，严禁随意运输，随意倾倒；施工人员生活垃圾经收集后由当地环卫部门及时清运。</w:t>
            </w:r>
          </w:p>
        </w:tc>
        <w:tc>
          <w:tcPr>
            <w:tcW w:w="1070" w:type="dxa"/>
            <w:vAlign w:val="center"/>
          </w:tcPr>
          <w:p w14:paraId="1399B295">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无害化处置及综合利用</w:t>
            </w:r>
          </w:p>
        </w:tc>
      </w:tr>
      <w:tr w14:paraId="1200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vAlign w:val="center"/>
          </w:tcPr>
          <w:p w14:paraId="5E57973E">
            <w:pPr>
              <w:pStyle w:val="21"/>
              <w:rPr>
                <w:color w:val="000000" w:themeColor="text1"/>
                <w14:textFill>
                  <w14:solidFill>
                    <w14:schemeClr w14:val="tx1"/>
                  </w14:solidFill>
                </w14:textFill>
              </w:rPr>
            </w:pPr>
          </w:p>
        </w:tc>
        <w:tc>
          <w:tcPr>
            <w:tcW w:w="1105" w:type="dxa"/>
            <w:vAlign w:val="center"/>
          </w:tcPr>
          <w:p w14:paraId="33AF4587">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生态</w:t>
            </w:r>
          </w:p>
        </w:tc>
        <w:tc>
          <w:tcPr>
            <w:tcW w:w="5800" w:type="dxa"/>
            <w:vAlign w:val="center"/>
          </w:tcPr>
          <w:p w14:paraId="56585D91">
            <w:pPr>
              <w:pStyle w:val="21"/>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加强施工管理，落实相应污染防控措施，严禁污染物随意排放，减小对周边生态环境的影响。</w:t>
            </w:r>
          </w:p>
        </w:tc>
        <w:tc>
          <w:tcPr>
            <w:tcW w:w="1070" w:type="dxa"/>
            <w:vAlign w:val="center"/>
          </w:tcPr>
          <w:p w14:paraId="7F80640C">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减小影响</w:t>
            </w:r>
          </w:p>
        </w:tc>
      </w:tr>
      <w:tr w14:paraId="0256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restart"/>
            <w:vAlign w:val="center"/>
          </w:tcPr>
          <w:p w14:paraId="1809C819">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运营期</w:t>
            </w:r>
          </w:p>
        </w:tc>
        <w:tc>
          <w:tcPr>
            <w:tcW w:w="1105" w:type="dxa"/>
            <w:vAlign w:val="center"/>
          </w:tcPr>
          <w:p w14:paraId="33AF2E12">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大气</w:t>
            </w:r>
          </w:p>
        </w:tc>
        <w:tc>
          <w:tcPr>
            <w:tcW w:w="5800" w:type="dxa"/>
            <w:vAlign w:val="center"/>
          </w:tcPr>
          <w:p w14:paraId="0B32EF1F">
            <w:pPr>
              <w:pStyle w:val="21"/>
              <w:jc w:val="both"/>
            </w:pPr>
            <w:r>
              <w:rPr>
                <w:rFonts w:hint="eastAsia"/>
              </w:rPr>
              <w:t>1、工艺废气：烧毛机废气、烘干废气、烘干机天然气燃烧废气、数码印花及蒸化废气收集至一套“多级喷淋+静电吸附装置”处理后通过15m以上排气筒高空排放；</w:t>
            </w:r>
          </w:p>
          <w:p w14:paraId="51AE2317">
            <w:pPr>
              <w:pStyle w:val="21"/>
              <w:jc w:val="both"/>
            </w:pPr>
            <w:r>
              <w:rPr>
                <w:rFonts w:hint="eastAsia"/>
              </w:rPr>
              <w:t>2、后整理粉尘：经设备自带的布袋除尘器处理后于车间内排放；</w:t>
            </w:r>
          </w:p>
          <w:p w14:paraId="24ABB00E">
            <w:pPr>
              <w:pStyle w:val="21"/>
              <w:jc w:val="both"/>
            </w:pPr>
            <w:r>
              <w:rPr>
                <w:rFonts w:hint="eastAsia"/>
              </w:rPr>
              <w:t>3、调配间废气：按要求设置燃料助剂称量、调配间，废气经整体抽风收集后先由收集管道口的过滤棉进行过滤后，再汇同污水处理站废气站废气经“化学氧化+碱液喷装置”处理后，通过15m高排气筒高空排放；</w:t>
            </w:r>
          </w:p>
          <w:p w14:paraId="364D31E4">
            <w:pPr>
              <w:pStyle w:val="21"/>
              <w:jc w:val="both"/>
            </w:pPr>
            <w:r>
              <w:rPr>
                <w:rFonts w:hint="eastAsia"/>
              </w:rPr>
              <w:t>4、污水处理站产生恶臭气体的区域加盖，配套合理废气收集管网及风机，实现密闭区域微负压收集，收集的恶臭气体经“化学氧化+碱喷淋装置”处理后通过15m高排气筒高空排放；</w:t>
            </w:r>
          </w:p>
          <w:p w14:paraId="1E225665">
            <w:pPr>
              <w:pStyle w:val="21"/>
              <w:jc w:val="both"/>
            </w:pPr>
            <w:r>
              <w:rPr>
                <w:rFonts w:hint="eastAsia"/>
              </w:rPr>
              <w:t>5、食堂油烟废气经净化装置处理后经排烟管道通至屋顶排放。</w:t>
            </w:r>
          </w:p>
        </w:tc>
        <w:tc>
          <w:tcPr>
            <w:tcW w:w="1070" w:type="dxa"/>
            <w:vAlign w:val="center"/>
          </w:tcPr>
          <w:p w14:paraId="52A35732">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达标排放</w:t>
            </w:r>
          </w:p>
        </w:tc>
      </w:tr>
      <w:tr w14:paraId="561D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vAlign w:val="center"/>
          </w:tcPr>
          <w:p w14:paraId="5330645B">
            <w:pPr>
              <w:pStyle w:val="21"/>
              <w:rPr>
                <w:color w:val="000000" w:themeColor="text1"/>
                <w14:textFill>
                  <w14:solidFill>
                    <w14:schemeClr w14:val="tx1"/>
                  </w14:solidFill>
                </w14:textFill>
              </w:rPr>
            </w:pPr>
          </w:p>
        </w:tc>
        <w:tc>
          <w:tcPr>
            <w:tcW w:w="1105" w:type="dxa"/>
            <w:vAlign w:val="center"/>
          </w:tcPr>
          <w:p w14:paraId="61F95BE8">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地表水</w:t>
            </w:r>
          </w:p>
        </w:tc>
        <w:tc>
          <w:tcPr>
            <w:tcW w:w="5800" w:type="dxa"/>
            <w:vAlign w:val="center"/>
          </w:tcPr>
          <w:p w14:paraId="42C0C2FC">
            <w:pPr>
              <w:pStyle w:val="21"/>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项目各股废水经收集后汇入厂区综合废水处理站处理达标后进入中水回用处理设施深度处理，出水达回用水质要求后回用到生产工序，浓水经进一步处理达标后通过标排口排入市政污水管网，中水回用率50%。</w:t>
            </w:r>
          </w:p>
        </w:tc>
        <w:tc>
          <w:tcPr>
            <w:tcW w:w="1070" w:type="dxa"/>
            <w:vAlign w:val="center"/>
          </w:tcPr>
          <w:p w14:paraId="75AA2F37">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达标排放</w:t>
            </w:r>
          </w:p>
        </w:tc>
      </w:tr>
      <w:tr w14:paraId="0082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vAlign w:val="center"/>
          </w:tcPr>
          <w:p w14:paraId="7D5D6203">
            <w:pPr>
              <w:pStyle w:val="21"/>
              <w:rPr>
                <w:color w:val="000000" w:themeColor="text1"/>
                <w14:textFill>
                  <w14:solidFill>
                    <w14:schemeClr w14:val="tx1"/>
                  </w14:solidFill>
                </w14:textFill>
              </w:rPr>
            </w:pPr>
          </w:p>
        </w:tc>
        <w:tc>
          <w:tcPr>
            <w:tcW w:w="1105" w:type="dxa"/>
            <w:vAlign w:val="center"/>
          </w:tcPr>
          <w:p w14:paraId="74D9D10A">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tc>
        <w:tc>
          <w:tcPr>
            <w:tcW w:w="5800" w:type="dxa"/>
            <w:vAlign w:val="center"/>
          </w:tcPr>
          <w:p w14:paraId="0BBC5D19">
            <w:pPr>
              <w:pStyle w:val="21"/>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选用先进的低噪声设备，降低噪声源强；对高噪声印染设备及辅助设备安装减振垫等；合理布局，尽量将高噪声源远离厂界等区域；加强设备日常维护，确保设备运行状态良好，避免非正常运行噪声。</w:t>
            </w:r>
          </w:p>
        </w:tc>
        <w:tc>
          <w:tcPr>
            <w:tcW w:w="1070" w:type="dxa"/>
            <w:vAlign w:val="center"/>
          </w:tcPr>
          <w:p w14:paraId="0A22CBA0">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达标排放</w:t>
            </w:r>
          </w:p>
        </w:tc>
      </w:tr>
      <w:tr w14:paraId="44F4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vAlign w:val="center"/>
          </w:tcPr>
          <w:p w14:paraId="3C2E478B">
            <w:pPr>
              <w:pStyle w:val="21"/>
              <w:rPr>
                <w:color w:val="000000" w:themeColor="text1"/>
                <w14:textFill>
                  <w14:solidFill>
                    <w14:schemeClr w14:val="tx1"/>
                  </w14:solidFill>
                </w14:textFill>
              </w:rPr>
            </w:pPr>
          </w:p>
        </w:tc>
        <w:tc>
          <w:tcPr>
            <w:tcW w:w="1105" w:type="dxa"/>
            <w:vAlign w:val="center"/>
          </w:tcPr>
          <w:p w14:paraId="77C0C333">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固废</w:t>
            </w:r>
          </w:p>
        </w:tc>
        <w:tc>
          <w:tcPr>
            <w:tcW w:w="5800" w:type="dxa"/>
            <w:vAlign w:val="center"/>
          </w:tcPr>
          <w:p w14:paraId="514198F0">
            <w:pPr>
              <w:pStyle w:val="21"/>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若在路面上行驶车辆产生少量垃圾，委托环卫部门及时清扫。</w:t>
            </w:r>
          </w:p>
        </w:tc>
        <w:tc>
          <w:tcPr>
            <w:tcW w:w="1070" w:type="dxa"/>
            <w:vAlign w:val="center"/>
          </w:tcPr>
          <w:p w14:paraId="37BA68B1">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无害化处置</w:t>
            </w:r>
          </w:p>
        </w:tc>
      </w:tr>
      <w:tr w14:paraId="44CF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vAlign w:val="center"/>
          </w:tcPr>
          <w:p w14:paraId="672F490B">
            <w:pPr>
              <w:pStyle w:val="21"/>
              <w:rPr>
                <w:color w:val="000000" w:themeColor="text1"/>
                <w14:textFill>
                  <w14:solidFill>
                    <w14:schemeClr w14:val="tx1"/>
                  </w14:solidFill>
                </w14:textFill>
              </w:rPr>
            </w:pPr>
          </w:p>
        </w:tc>
        <w:tc>
          <w:tcPr>
            <w:tcW w:w="1105" w:type="dxa"/>
            <w:vAlign w:val="center"/>
          </w:tcPr>
          <w:p w14:paraId="7C0392FC">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土壤及地下水污染防治</w:t>
            </w:r>
          </w:p>
        </w:tc>
        <w:tc>
          <w:tcPr>
            <w:tcW w:w="5800" w:type="dxa"/>
            <w:vAlign w:val="center"/>
          </w:tcPr>
          <w:p w14:paraId="0B2C7845">
            <w:pPr>
              <w:pStyle w:val="21"/>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按照“源头控制、分区防治、污染监控、应急响应”相结合的原则，从污染物的产生、入渗、扩散、应急响应全方位进行控制。</w:t>
            </w:r>
          </w:p>
        </w:tc>
        <w:tc>
          <w:tcPr>
            <w:tcW w:w="1070" w:type="dxa"/>
            <w:vAlign w:val="center"/>
          </w:tcPr>
          <w:p w14:paraId="52E544CC">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减小影响</w:t>
            </w:r>
          </w:p>
        </w:tc>
      </w:tr>
      <w:tr w14:paraId="7CDA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vAlign w:val="center"/>
          </w:tcPr>
          <w:p w14:paraId="60E1DCE9">
            <w:pPr>
              <w:pStyle w:val="21"/>
              <w:rPr>
                <w:color w:val="000000" w:themeColor="text1"/>
                <w14:textFill>
                  <w14:solidFill>
                    <w14:schemeClr w14:val="tx1"/>
                  </w14:solidFill>
                </w14:textFill>
              </w:rPr>
            </w:pPr>
          </w:p>
        </w:tc>
        <w:tc>
          <w:tcPr>
            <w:tcW w:w="1105" w:type="dxa"/>
            <w:vAlign w:val="center"/>
          </w:tcPr>
          <w:p w14:paraId="011DADF3">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w:t>
            </w:r>
          </w:p>
        </w:tc>
        <w:tc>
          <w:tcPr>
            <w:tcW w:w="5800" w:type="dxa"/>
            <w:vAlign w:val="center"/>
          </w:tcPr>
          <w:p w14:paraId="0DCE2BFD">
            <w:pPr>
              <w:pStyle w:val="21"/>
              <w:jc w:val="both"/>
              <w:rPr>
                <w:color w:val="000000" w:themeColor="text1"/>
                <w:szCs w:val="21"/>
                <w14:textFill>
                  <w14:solidFill>
                    <w14:schemeClr w14:val="tx1"/>
                  </w14:solidFill>
                </w14:textFill>
              </w:rPr>
            </w:pPr>
            <w:r>
              <w:rPr>
                <w:rFonts w:hint="eastAsia"/>
              </w:rPr>
              <w:t>优化风险源的规划布局；强化风险物质的监督管理；防止事故气态污染物向环境转移；建立完善的生产废水、雨水、事故消防废水等切换、排放系统，在污水处理站设事故应急池；落实厂内污染区地面的防渗措施和泄漏、渗漏污染物收集措施，防止洒落地面的污染物渗入地下；制定应急预案，配备相应的应急物资，定期进行应急预案的演练。</w:t>
            </w:r>
          </w:p>
        </w:tc>
        <w:tc>
          <w:tcPr>
            <w:tcW w:w="1070" w:type="dxa"/>
            <w:vAlign w:val="center"/>
          </w:tcPr>
          <w:p w14:paraId="67DB64E5">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减小影响</w:t>
            </w:r>
          </w:p>
        </w:tc>
      </w:tr>
    </w:tbl>
    <w:p w14:paraId="576DABF6">
      <w:pPr>
        <w:rPr>
          <w:b/>
          <w:bCs/>
        </w:rPr>
      </w:pPr>
      <w:r>
        <w:rPr>
          <w:rFonts w:hint="eastAsia"/>
          <w:b/>
          <w:bCs/>
        </w:rPr>
        <w:t>五、环境影响初步结论</w:t>
      </w:r>
    </w:p>
    <w:p w14:paraId="47A61271">
      <w:pPr>
        <w:pStyle w:val="32"/>
        <w:ind w:firstLine="480"/>
        <w:rPr>
          <w:rFonts w:cs="Times New Roman"/>
          <w:snapToGrid w:val="0"/>
          <w:color w:val="000000" w:themeColor="text1"/>
          <w:szCs w:val="21"/>
          <w14:textFill>
            <w14:solidFill>
              <w14:schemeClr w14:val="tx1"/>
            </w14:solidFill>
          </w14:textFill>
        </w:rPr>
      </w:pPr>
      <w:r>
        <w:rPr>
          <w:rFonts w:hint="eastAsia" w:cs="Times New Roman"/>
          <w:snapToGrid w:val="0"/>
          <w:color w:val="000000" w:themeColor="text1"/>
          <w:szCs w:val="21"/>
          <w14:textFill>
            <w14:solidFill>
              <w14:schemeClr w14:val="tx1"/>
            </w14:solidFill>
          </w14:textFill>
        </w:rPr>
        <w:t>本项目选址符合环境管控单元要求，符合相关规划要求，符合国家和浙江省产业政策要求，采用的工艺和设备符合清洁生产要求，污染物排放量符合污染物排放标准和主要污染物排放总量控制指标要求，符合宁波市生态环境分区管控动态更新方案要求。从预测结果来看，本项目造成的环境影响基本符合项目所在地环境功能区划确定的环境质量要求，从环保角度而言，本项目在该厂址实施是可行的。</w:t>
      </w:r>
    </w:p>
    <w:p w14:paraId="3D855F66">
      <w:pPr>
        <w:rPr>
          <w:b/>
          <w:bCs/>
        </w:rPr>
      </w:pPr>
      <w:r>
        <w:rPr>
          <w:rFonts w:hint="eastAsia"/>
          <w:b/>
          <w:bCs/>
        </w:rPr>
        <w:t>六、公众参与的方式和期限</w:t>
      </w:r>
    </w:p>
    <w:p w14:paraId="576DD718">
      <w:pPr>
        <w:pStyle w:val="32"/>
        <w:ind w:firstLine="480"/>
      </w:pPr>
      <w:r>
        <w:rPr>
          <w:rFonts w:hint="eastAsia"/>
        </w:rPr>
        <w:t>自本公告发布之日起10个工作日内，项目评价范围内的居民、企事业单位以及利益相关者如需了解或反映有关工程环境保护方面的问题，可通过如下方式进行联系或反馈。</w:t>
      </w:r>
    </w:p>
    <w:p w14:paraId="01558FAE">
      <w:pPr>
        <w:pStyle w:val="32"/>
        <w:ind w:firstLine="480"/>
        <w:rPr>
          <w:color w:val="auto"/>
        </w:rPr>
      </w:pPr>
      <w:r>
        <w:rPr>
          <w:rFonts w:hint="eastAsia"/>
          <w:color w:val="auto"/>
        </w:rPr>
        <w:t>项目建设单位：</w:t>
      </w:r>
      <w:r>
        <w:rPr>
          <w:rFonts w:hint="eastAsia" w:cs="Times New Roman"/>
          <w:color w:val="auto"/>
        </w:rPr>
        <w:t>宁波江南织造时尚科技有限公司</w:t>
      </w:r>
    </w:p>
    <w:p w14:paraId="5A32C760">
      <w:pPr>
        <w:pStyle w:val="32"/>
        <w:ind w:firstLine="2160" w:firstLineChars="900"/>
        <w:rPr>
          <w:rFonts w:hint="default" w:eastAsia="宋体"/>
          <w:color w:val="auto"/>
          <w:lang w:val="en-US" w:eastAsia="zh-CN"/>
        </w:rPr>
      </w:pPr>
      <w:r>
        <w:rPr>
          <w:rFonts w:hint="eastAsia"/>
          <w:color w:val="auto"/>
          <w:lang w:val="en-US" w:eastAsia="zh-CN"/>
        </w:rPr>
        <w:t>蔡经理</w:t>
      </w:r>
      <w:r>
        <w:rPr>
          <w:rFonts w:hint="eastAsia"/>
          <w:color w:val="auto"/>
        </w:rPr>
        <w:t xml:space="preserve">   </w:t>
      </w:r>
      <w:r>
        <w:rPr>
          <w:rFonts w:hint="eastAsia"/>
          <w:color w:val="auto"/>
          <w:lang w:val="en-US" w:eastAsia="zh-CN"/>
        </w:rPr>
        <w:t>13958248727</w:t>
      </w:r>
    </w:p>
    <w:p w14:paraId="725EAB0F">
      <w:pPr>
        <w:pStyle w:val="32"/>
        <w:ind w:firstLine="480"/>
        <w:rPr>
          <w:color w:val="auto"/>
        </w:rPr>
      </w:pPr>
      <w:r>
        <w:rPr>
          <w:rFonts w:hint="eastAsia"/>
          <w:color w:val="auto"/>
        </w:rPr>
        <w:t>项目环评单位：浙江甬绿环保科技有限公司</w:t>
      </w:r>
    </w:p>
    <w:p w14:paraId="4C56ED80">
      <w:pPr>
        <w:pStyle w:val="32"/>
        <w:ind w:firstLine="2160" w:firstLineChars="900"/>
        <w:rPr>
          <w:rFonts w:hint="default" w:eastAsia="宋体"/>
          <w:color w:val="auto"/>
          <w:lang w:val="en-US" w:eastAsia="zh-CN"/>
        </w:rPr>
      </w:pPr>
      <w:r>
        <w:rPr>
          <w:rFonts w:hint="eastAsia"/>
          <w:color w:val="auto"/>
        </w:rPr>
        <w:t xml:space="preserve">朱工     </w:t>
      </w:r>
      <w:r>
        <w:rPr>
          <w:rFonts w:hint="eastAsia"/>
          <w:color w:val="auto"/>
          <w:lang w:val="en-US" w:eastAsia="zh-CN"/>
        </w:rPr>
        <w:t>15988653005</w:t>
      </w:r>
    </w:p>
    <w:p w14:paraId="6D6AEAFB">
      <w:pPr>
        <w:rPr>
          <w:b/>
          <w:bCs/>
        </w:rPr>
      </w:pPr>
      <w:r>
        <w:rPr>
          <w:rFonts w:hint="eastAsia"/>
          <w:b/>
          <w:bCs/>
        </w:rPr>
        <w:t>七、征求公众意见的具体形式</w:t>
      </w:r>
    </w:p>
    <w:p w14:paraId="69604C50">
      <w:pPr>
        <w:pStyle w:val="32"/>
        <w:ind w:firstLine="480"/>
        <w:rPr>
          <w:color w:val="auto"/>
        </w:rPr>
      </w:pPr>
      <w:r>
        <w:rPr>
          <w:rFonts w:hint="eastAsia"/>
          <w:color w:val="auto"/>
        </w:rPr>
        <w:t>项目以建设单位网站发布公示信息、张贴公告的形式征求公众意见。</w:t>
      </w:r>
    </w:p>
    <w:p w14:paraId="71CD5AA0">
      <w:pPr>
        <w:rPr>
          <w:b/>
          <w:bCs/>
          <w:color w:val="auto"/>
        </w:rPr>
      </w:pPr>
      <w:r>
        <w:rPr>
          <w:rFonts w:hint="eastAsia"/>
          <w:b/>
          <w:bCs/>
          <w:color w:val="auto"/>
        </w:rPr>
        <w:t>八、公众提出意见的起止时间</w:t>
      </w:r>
    </w:p>
    <w:p w14:paraId="4B5957E3">
      <w:pPr>
        <w:pStyle w:val="32"/>
        <w:ind w:firstLine="480"/>
        <w:rPr>
          <w:color w:val="auto"/>
        </w:rPr>
      </w:pPr>
      <w:r>
        <w:rPr>
          <w:rFonts w:hint="eastAsia"/>
          <w:color w:val="auto"/>
        </w:rPr>
        <w:t>本次公告时间：2026年5月15日～2026年5月29日。</w:t>
      </w:r>
    </w:p>
    <w:p w14:paraId="3E3A964F"/>
    <w:p w14:paraId="756E5611"/>
    <w:p w14:paraId="3F1D1564">
      <w:pPr>
        <w:jc w:val="right"/>
      </w:pPr>
      <w:r>
        <w:rPr>
          <w:rFonts w:hint="eastAsia" w:cs="Times New Roman"/>
          <w:color w:val="000000" w:themeColor="text1"/>
          <w14:textFill>
            <w14:solidFill>
              <w14:schemeClr w14:val="tx1"/>
            </w14:solidFill>
          </w14:textFill>
        </w:rPr>
        <w:t>宁波江南织造时尚科技有限公司</w:t>
      </w:r>
    </w:p>
    <w:p w14:paraId="7D0202C4">
      <w:pPr>
        <w:jc w:val="right"/>
      </w:pPr>
      <w:r>
        <w:rPr>
          <w:rFonts w:hint="eastAsia"/>
        </w:rPr>
        <w:t>2026年5月15日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E4573"/>
    <w:multiLevelType w:val="multilevel"/>
    <w:tmpl w:val="0E1E4573"/>
    <w:lvl w:ilvl="0" w:tentative="0">
      <w:start w:val="1"/>
      <w:numFmt w:val="decimal"/>
      <w:pStyle w:val="31"/>
      <w:lvlText w:val="%1"/>
      <w:lvlJc w:val="left"/>
      <w:pPr>
        <w:ind w:left="0" w:firstLine="0"/>
      </w:pPr>
      <w:rPr>
        <w:rFonts w:hint="eastAsia" w:ascii="Times New Roman" w:hAnsi="Times New Roman" w:cs="Times New Roman"/>
        <w:b/>
        <w:bCs w:val="0"/>
        <w:i w:val="0"/>
        <w:iCs w:val="0"/>
        <w:caps w:val="0"/>
        <w:smallCaps w:val="0"/>
        <w:strike w:val="0"/>
        <w:dstrike w:val="0"/>
        <w:snapToGrid w:val="0"/>
        <w:vanish w:val="0"/>
        <w:color w:val="000000"/>
        <w:spacing w:val="0"/>
        <w:kern w:val="0"/>
        <w:position w:val="0"/>
        <w:u w:val="none"/>
        <w:vertAlign w:val="baseline"/>
        <w:lang w:val="en-US"/>
      </w:rPr>
    </w:lvl>
    <w:lvl w:ilvl="1" w:tentative="0">
      <w:start w:val="1"/>
      <w:numFmt w:val="decimal"/>
      <w:pStyle w:val="28"/>
      <w:isLgl/>
      <w:lvlText w:val="%1.%2"/>
      <w:lvlJc w:val="left"/>
      <w:pPr>
        <w:ind w:left="0" w:firstLine="0"/>
      </w:pPr>
      <w:rPr>
        <w:rFonts w:hint="eastAsia"/>
      </w:rPr>
    </w:lvl>
    <w:lvl w:ilvl="2" w:tentative="0">
      <w:start w:val="1"/>
      <w:numFmt w:val="decimal"/>
      <w:pStyle w:val="29"/>
      <w:lvlText w:val="%1.%2.%3"/>
      <w:lvlJc w:val="left"/>
      <w:pPr>
        <w:ind w:left="0" w:firstLine="0"/>
      </w:pPr>
      <w:rPr>
        <w:rFonts w:hint="eastAsia"/>
        <w:sz w:val="24"/>
        <w:szCs w:val="24"/>
      </w:rPr>
    </w:lvl>
    <w:lvl w:ilvl="3" w:tentative="0">
      <w:start w:val="1"/>
      <w:numFmt w:val="decimal"/>
      <w:pStyle w:val="30"/>
      <w:lvlText w:val="%1.%2.%3.%4"/>
      <w:lvlJc w:val="left"/>
      <w:pPr>
        <w:ind w:left="0" w:firstLine="0"/>
      </w:pPr>
      <w:rPr>
        <w:rFonts w:hint="eastAsia"/>
      </w:rPr>
    </w:lvl>
    <w:lvl w:ilvl="4" w:tentative="0">
      <w:start w:val="1"/>
      <w:numFmt w:val="decimal"/>
      <w:lvlRestart w:val="1"/>
      <w:pStyle w:val="27"/>
      <w:lvlText w:val="表%1-%5"/>
      <w:lvlJc w:val="left"/>
      <w:pPr>
        <w:ind w:left="0" w:firstLine="0"/>
      </w:pPr>
      <w:rPr>
        <w:rFonts w:hint="default" w:ascii="Times New Roman" w:hAnsi="Times New Roman" w:cs="Times New Roman"/>
        <w:b/>
        <w:sz w:val="24"/>
        <w:szCs w:val="24"/>
        <w:lang w:val="en-US"/>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4CEC45CD"/>
    <w:multiLevelType w:val="multilevel"/>
    <w:tmpl w:val="4CEC45CD"/>
    <w:lvl w:ilvl="0" w:tentative="0">
      <w:start w:val="1"/>
      <w:numFmt w:val="decimal"/>
      <w:pStyle w:val="2"/>
      <w:lvlText w:val="%1"/>
      <w:lvlJc w:val="left"/>
      <w:pPr>
        <w:tabs>
          <w:tab w:val="left" w:pos="0"/>
        </w:tabs>
        <w:ind w:left="0" w:firstLine="0"/>
      </w:pPr>
      <w:rPr>
        <w:rFonts w:hint="eastAsia"/>
      </w:rPr>
    </w:lvl>
    <w:lvl w:ilvl="1" w:tentative="0">
      <w:start w:val="1"/>
      <w:numFmt w:val="decimal"/>
      <w:pStyle w:val="3"/>
      <w:lvlText w:val="%1.%2"/>
      <w:lvlJc w:val="left"/>
      <w:pPr>
        <w:tabs>
          <w:tab w:val="left" w:pos="0"/>
        </w:tabs>
        <w:ind w:left="0" w:firstLine="0"/>
      </w:pPr>
      <w:rPr>
        <w:rFonts w:hint="eastAsia"/>
      </w:rPr>
    </w:lvl>
    <w:lvl w:ilvl="2" w:tentative="0">
      <w:start w:val="1"/>
      <w:numFmt w:val="decimal"/>
      <w:pStyle w:val="4"/>
      <w:lvlText w:val="%1.%2.%3"/>
      <w:lvlJc w:val="left"/>
      <w:pPr>
        <w:tabs>
          <w:tab w:val="left" w:pos="1560"/>
        </w:tabs>
        <w:ind w:left="993" w:firstLine="0"/>
      </w:pPr>
      <w:rPr>
        <w:rFonts w:hint="eastAsia"/>
      </w:rPr>
    </w:lvl>
    <w:lvl w:ilvl="3" w:tentative="0">
      <w:start w:val="1"/>
      <w:numFmt w:val="decimal"/>
      <w:pStyle w:val="6"/>
      <w:lvlText w:val="%1.%2.%3.%4"/>
      <w:lvlJc w:val="left"/>
      <w:pPr>
        <w:tabs>
          <w:tab w:val="left" w:pos="864"/>
        </w:tabs>
        <w:ind w:left="864" w:hanging="864"/>
      </w:pPr>
      <w:rPr>
        <w:rFonts w:hint="eastAsia" w:ascii="Times New Roman" w:hAnsi="Times New Roman"/>
      </w:rPr>
    </w:lvl>
    <w:lvl w:ilvl="4" w:tentative="0">
      <w:start w:val="1"/>
      <w:numFmt w:val="decimal"/>
      <w:lvlRestart w:val="2"/>
      <w:pStyle w:val="7"/>
      <w:lvlText w:val="表%1.%2-%5"/>
      <w:lvlJc w:val="center"/>
      <w:pPr>
        <w:ind w:left="0" w:firstLine="0"/>
      </w:pPr>
      <w:rPr>
        <w:rFonts w:hint="eastAsia" w:eastAsia="宋体"/>
        <w:b/>
        <w:i w:val="0"/>
        <w:caps w:val="0"/>
        <w:strike w:val="0"/>
        <w:dstrike w:val="0"/>
        <w:vanish w:val="0"/>
        <w:color w:val="auto"/>
        <w:sz w:val="21"/>
        <w:u w:val="none"/>
        <w:vertAlign w:val="baseline"/>
        <w:lang w:val="en-US"/>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xYzFlZTk1NjAxNWFkOWQzZmQzMmM0M2ViNzE4ZmQifQ=="/>
  </w:docVars>
  <w:rsids>
    <w:rsidRoot w:val="00241443"/>
    <w:rsid w:val="0007689B"/>
    <w:rsid w:val="000872D9"/>
    <w:rsid w:val="000B3CC7"/>
    <w:rsid w:val="000C0509"/>
    <w:rsid w:val="000D12F2"/>
    <w:rsid w:val="00180603"/>
    <w:rsid w:val="00187B28"/>
    <w:rsid w:val="001F71A3"/>
    <w:rsid w:val="00221376"/>
    <w:rsid w:val="00241443"/>
    <w:rsid w:val="002A08F9"/>
    <w:rsid w:val="002B2E8D"/>
    <w:rsid w:val="002F0384"/>
    <w:rsid w:val="003A1003"/>
    <w:rsid w:val="003B3697"/>
    <w:rsid w:val="003C0CEC"/>
    <w:rsid w:val="003E4D3E"/>
    <w:rsid w:val="00475F67"/>
    <w:rsid w:val="004817A2"/>
    <w:rsid w:val="00497EBC"/>
    <w:rsid w:val="00532CD0"/>
    <w:rsid w:val="0054549E"/>
    <w:rsid w:val="00641AE9"/>
    <w:rsid w:val="00685E86"/>
    <w:rsid w:val="0070078C"/>
    <w:rsid w:val="0078250D"/>
    <w:rsid w:val="008258C2"/>
    <w:rsid w:val="008B223C"/>
    <w:rsid w:val="009063EA"/>
    <w:rsid w:val="009C704F"/>
    <w:rsid w:val="009D560E"/>
    <w:rsid w:val="009D7B93"/>
    <w:rsid w:val="009F3D59"/>
    <w:rsid w:val="00A407B0"/>
    <w:rsid w:val="00AA0092"/>
    <w:rsid w:val="00AD441B"/>
    <w:rsid w:val="00AD7C3D"/>
    <w:rsid w:val="00B0218B"/>
    <w:rsid w:val="00BB6C16"/>
    <w:rsid w:val="00BD7C94"/>
    <w:rsid w:val="00BE1691"/>
    <w:rsid w:val="00BF6247"/>
    <w:rsid w:val="00C1719F"/>
    <w:rsid w:val="00C2619D"/>
    <w:rsid w:val="00C41BEF"/>
    <w:rsid w:val="00C8316A"/>
    <w:rsid w:val="00C86B89"/>
    <w:rsid w:val="00D259FD"/>
    <w:rsid w:val="00DA088E"/>
    <w:rsid w:val="00DA484E"/>
    <w:rsid w:val="00E06F35"/>
    <w:rsid w:val="00E24EF9"/>
    <w:rsid w:val="00E547DB"/>
    <w:rsid w:val="00E759AE"/>
    <w:rsid w:val="00EA01CF"/>
    <w:rsid w:val="00F4300F"/>
    <w:rsid w:val="00F95769"/>
    <w:rsid w:val="00FA2DB5"/>
    <w:rsid w:val="00FB290F"/>
    <w:rsid w:val="15023829"/>
    <w:rsid w:val="16B77EA2"/>
    <w:rsid w:val="27561C28"/>
    <w:rsid w:val="27B61526"/>
    <w:rsid w:val="2973086F"/>
    <w:rsid w:val="2C7C5A44"/>
    <w:rsid w:val="3B7B66A5"/>
    <w:rsid w:val="3E1877DF"/>
    <w:rsid w:val="403E1AF3"/>
    <w:rsid w:val="43372938"/>
    <w:rsid w:val="4F0F444D"/>
    <w:rsid w:val="59BD3953"/>
    <w:rsid w:val="5CAE1780"/>
    <w:rsid w:val="5E5D0BCB"/>
    <w:rsid w:val="6AAF6C52"/>
    <w:rsid w:val="748B5681"/>
    <w:rsid w:val="7782124A"/>
    <w:rsid w:val="78AB1910"/>
    <w:rsid w:val="7F58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9"/>
    <w:qFormat/>
    <w:uiPriority w:val="0"/>
    <w:pPr>
      <w:keepNext/>
      <w:keepLines/>
      <w:numPr>
        <w:ilvl w:val="0"/>
        <w:numId w:val="1"/>
      </w:numPr>
      <w:spacing w:line="360" w:lineRule="auto"/>
      <w:outlineLvl w:val="0"/>
    </w:pPr>
    <w:rPr>
      <w:rFonts w:ascii="黑体" w:cs="Times New Roman"/>
      <w:b/>
      <w:kern w:val="44"/>
      <w:sz w:val="32"/>
      <w:szCs w:val="21"/>
    </w:rPr>
  </w:style>
  <w:style w:type="paragraph" w:styleId="3">
    <w:name w:val="heading 2"/>
    <w:basedOn w:val="1"/>
    <w:next w:val="1"/>
    <w:link w:val="18"/>
    <w:qFormat/>
    <w:uiPriority w:val="0"/>
    <w:pPr>
      <w:keepNext/>
      <w:keepLines/>
      <w:numPr>
        <w:ilvl w:val="1"/>
        <w:numId w:val="1"/>
      </w:numPr>
      <w:spacing w:line="360" w:lineRule="auto"/>
      <w:jc w:val="left"/>
      <w:outlineLvl w:val="1"/>
    </w:pPr>
    <w:rPr>
      <w:rFonts w:cs="Times New Roman"/>
      <w:b/>
      <w:bCs/>
      <w:smallCaps/>
      <w:sz w:val="30"/>
      <w:szCs w:val="28"/>
    </w:rPr>
  </w:style>
  <w:style w:type="paragraph" w:styleId="4">
    <w:name w:val="heading 3"/>
    <w:basedOn w:val="3"/>
    <w:next w:val="5"/>
    <w:link w:val="20"/>
    <w:qFormat/>
    <w:uiPriority w:val="0"/>
    <w:pPr>
      <w:numPr>
        <w:ilvl w:val="2"/>
      </w:numPr>
      <w:outlineLvl w:val="2"/>
    </w:pPr>
    <w:rPr>
      <w:bCs w:val="0"/>
      <w:sz w:val="28"/>
      <w:szCs w:val="21"/>
    </w:rPr>
  </w:style>
  <w:style w:type="paragraph" w:styleId="6">
    <w:name w:val="heading 4"/>
    <w:basedOn w:val="1"/>
    <w:next w:val="1"/>
    <w:link w:val="25"/>
    <w:qFormat/>
    <w:uiPriority w:val="0"/>
    <w:pPr>
      <w:numPr>
        <w:ilvl w:val="3"/>
        <w:numId w:val="1"/>
      </w:numPr>
      <w:adjustRightInd w:val="0"/>
      <w:spacing w:line="360" w:lineRule="auto"/>
      <w:jc w:val="left"/>
      <w:textAlignment w:val="baseline"/>
      <w:outlineLvl w:val="3"/>
    </w:pPr>
    <w:rPr>
      <w:rFonts w:cs="Times New Roman"/>
      <w:b/>
      <w:bCs/>
      <w:smallCaps/>
      <w:szCs w:val="24"/>
    </w:rPr>
  </w:style>
  <w:style w:type="paragraph" w:styleId="7">
    <w:name w:val="heading 5"/>
    <w:basedOn w:val="1"/>
    <w:next w:val="1"/>
    <w:link w:val="26"/>
    <w:qFormat/>
    <w:uiPriority w:val="0"/>
    <w:pPr>
      <w:numPr>
        <w:ilvl w:val="4"/>
        <w:numId w:val="1"/>
      </w:numPr>
      <w:jc w:val="center"/>
      <w:outlineLvl w:val="4"/>
    </w:pPr>
    <w:rPr>
      <w:rFonts w:cs="Times New Roman"/>
      <w:b/>
      <w:bCs/>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5">
    <w:name w:val="A报告正文"/>
    <w:basedOn w:val="1"/>
    <w:link w:val="24"/>
    <w:qFormat/>
    <w:uiPriority w:val="0"/>
    <w:pPr>
      <w:spacing w:line="360" w:lineRule="auto"/>
      <w:ind w:firstLine="482"/>
    </w:pPr>
    <w:rPr>
      <w:rFonts w:cs="Times New Roman"/>
      <w:szCs w:val="24"/>
    </w:rPr>
  </w:style>
  <w:style w:type="paragraph" w:styleId="8">
    <w:name w:val="Normal Indent"/>
    <w:basedOn w:val="1"/>
    <w:semiHidden/>
    <w:unhideWhenUsed/>
    <w:qFormat/>
    <w:uiPriority w:val="99"/>
    <w:pPr>
      <w:ind w:firstLine="420" w:firstLineChars="200"/>
    </w:pPr>
  </w:style>
  <w:style w:type="paragraph" w:styleId="9">
    <w:name w:val="annotation text"/>
    <w:basedOn w:val="1"/>
    <w:link w:val="38"/>
    <w:semiHidden/>
    <w:unhideWhenUsed/>
    <w:qFormat/>
    <w:uiPriority w:val="99"/>
    <w:pPr>
      <w:jc w:val="left"/>
    </w:pPr>
  </w:style>
  <w:style w:type="paragraph" w:styleId="10">
    <w:name w:val="Body Text Indent 2"/>
    <w:basedOn w:val="1"/>
    <w:link w:val="37"/>
    <w:unhideWhenUsed/>
    <w:qFormat/>
    <w:uiPriority w:val="0"/>
    <w:pPr>
      <w:spacing w:after="120" w:line="480" w:lineRule="auto"/>
      <w:ind w:left="420" w:leftChars="200"/>
    </w:pPr>
    <w:rPr>
      <w:rFonts w:ascii="Calibri" w:hAnsi="Calibri"/>
    </w:rPr>
  </w:style>
  <w:style w:type="paragraph" w:styleId="11">
    <w:name w:val="footer"/>
    <w:basedOn w:val="1"/>
    <w:link w:val="36"/>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tLeast"/>
      <w:jc w:val="center"/>
    </w:pPr>
    <w:rPr>
      <w:sz w:val="18"/>
      <w:szCs w:val="18"/>
    </w:rPr>
  </w:style>
  <w:style w:type="paragraph" w:styleId="13">
    <w:name w:val="annotation subject"/>
    <w:basedOn w:val="9"/>
    <w:next w:val="9"/>
    <w:link w:val="39"/>
    <w:semiHidden/>
    <w:unhideWhenUsed/>
    <w:qFormat/>
    <w:uiPriority w:val="99"/>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标题 2 字符"/>
    <w:basedOn w:val="16"/>
    <w:link w:val="3"/>
    <w:qFormat/>
    <w:uiPriority w:val="0"/>
    <w:rPr>
      <w:rFonts w:ascii="Times New Roman" w:hAnsi="Times New Roman" w:eastAsia="宋体" w:cs="Times New Roman"/>
      <w:b/>
      <w:bCs/>
      <w:smallCaps/>
      <w:sz w:val="30"/>
      <w:szCs w:val="28"/>
    </w:rPr>
  </w:style>
  <w:style w:type="character" w:customStyle="1" w:styleId="19">
    <w:name w:val="标题 1 字符"/>
    <w:basedOn w:val="16"/>
    <w:link w:val="2"/>
    <w:qFormat/>
    <w:uiPriority w:val="0"/>
    <w:rPr>
      <w:rFonts w:ascii="黑体" w:hAnsi="Times New Roman" w:eastAsia="宋体" w:cs="Times New Roman"/>
      <w:b/>
      <w:kern w:val="44"/>
      <w:sz w:val="32"/>
      <w:szCs w:val="21"/>
    </w:rPr>
  </w:style>
  <w:style w:type="character" w:customStyle="1" w:styleId="20">
    <w:name w:val="标题 3 字符"/>
    <w:basedOn w:val="16"/>
    <w:link w:val="4"/>
    <w:qFormat/>
    <w:uiPriority w:val="0"/>
    <w:rPr>
      <w:rFonts w:ascii="Times New Roman" w:hAnsi="Times New Roman" w:eastAsia="宋体" w:cs="Times New Roman"/>
      <w:b/>
      <w:smallCaps/>
      <w:sz w:val="28"/>
      <w:szCs w:val="21"/>
    </w:rPr>
  </w:style>
  <w:style w:type="paragraph" w:customStyle="1" w:styleId="21">
    <w:name w:val="A表格文字"/>
    <w:basedOn w:val="1"/>
    <w:link w:val="22"/>
    <w:qFormat/>
    <w:uiPriority w:val="0"/>
    <w:pPr>
      <w:spacing w:line="300" w:lineRule="exact"/>
      <w:jc w:val="center"/>
    </w:pPr>
    <w:rPr>
      <w:rFonts w:cs="Times New Roman"/>
      <w:sz w:val="21"/>
      <w:szCs w:val="24"/>
    </w:rPr>
  </w:style>
  <w:style w:type="character" w:customStyle="1" w:styleId="22">
    <w:name w:val="A表格文字 字符"/>
    <w:link w:val="21"/>
    <w:qFormat/>
    <w:uiPriority w:val="0"/>
    <w:rPr>
      <w:rFonts w:ascii="Times New Roman" w:hAnsi="Times New Roman" w:eastAsia="宋体" w:cs="Times New Roman"/>
      <w:szCs w:val="24"/>
    </w:rPr>
  </w:style>
  <w:style w:type="paragraph" w:customStyle="1" w:styleId="23">
    <w:name w:val="A图头"/>
    <w:basedOn w:val="1"/>
    <w:qFormat/>
    <w:uiPriority w:val="0"/>
    <w:pPr>
      <w:jc w:val="center"/>
    </w:pPr>
    <w:rPr>
      <w:rFonts w:cs="Arial"/>
      <w:b/>
      <w:kern w:val="0"/>
      <w:szCs w:val="24"/>
    </w:rPr>
  </w:style>
  <w:style w:type="character" w:customStyle="1" w:styleId="24">
    <w:name w:val="A报告正文 字符"/>
    <w:link w:val="5"/>
    <w:qFormat/>
    <w:uiPriority w:val="0"/>
    <w:rPr>
      <w:rFonts w:ascii="Times New Roman" w:hAnsi="Times New Roman" w:eastAsia="宋体" w:cs="Times New Roman"/>
      <w:sz w:val="24"/>
      <w:szCs w:val="24"/>
    </w:rPr>
  </w:style>
  <w:style w:type="character" w:customStyle="1" w:styleId="25">
    <w:name w:val="标题 4 字符"/>
    <w:basedOn w:val="16"/>
    <w:link w:val="6"/>
    <w:qFormat/>
    <w:uiPriority w:val="0"/>
    <w:rPr>
      <w:rFonts w:ascii="Times New Roman" w:hAnsi="Times New Roman" w:eastAsia="宋体" w:cs="Times New Roman"/>
      <w:b/>
      <w:bCs/>
      <w:smallCaps/>
      <w:sz w:val="24"/>
      <w:szCs w:val="24"/>
    </w:rPr>
  </w:style>
  <w:style w:type="character" w:customStyle="1" w:styleId="26">
    <w:name w:val="标题 5 字符"/>
    <w:basedOn w:val="16"/>
    <w:link w:val="7"/>
    <w:qFormat/>
    <w:uiPriority w:val="0"/>
    <w:rPr>
      <w:rFonts w:ascii="Times New Roman" w:hAnsi="Times New Roman" w:eastAsia="宋体" w:cs="Times New Roman"/>
      <w:b/>
      <w:bCs/>
      <w:szCs w:val="28"/>
    </w:rPr>
  </w:style>
  <w:style w:type="paragraph" w:customStyle="1" w:styleId="27">
    <w:name w:val="A书表头"/>
    <w:basedOn w:val="1"/>
    <w:next w:val="1"/>
    <w:qFormat/>
    <w:uiPriority w:val="0"/>
    <w:pPr>
      <w:numPr>
        <w:ilvl w:val="4"/>
        <w:numId w:val="2"/>
      </w:numPr>
      <w:jc w:val="center"/>
      <w:outlineLvl w:val="4"/>
    </w:pPr>
    <w:rPr>
      <w:rFonts w:cs="Arial"/>
      <w:b/>
      <w:kern w:val="0"/>
      <w:szCs w:val="24"/>
    </w:rPr>
  </w:style>
  <w:style w:type="paragraph" w:customStyle="1" w:styleId="28">
    <w:name w:val="A书二级"/>
    <w:basedOn w:val="1"/>
    <w:next w:val="1"/>
    <w:qFormat/>
    <w:uiPriority w:val="0"/>
    <w:pPr>
      <w:numPr>
        <w:ilvl w:val="1"/>
        <w:numId w:val="2"/>
      </w:numPr>
      <w:spacing w:before="120"/>
      <w:jc w:val="left"/>
      <w:outlineLvl w:val="1"/>
    </w:pPr>
    <w:rPr>
      <w:rFonts w:cs="Arial"/>
      <w:b/>
      <w:kern w:val="0"/>
      <w:sz w:val="28"/>
      <w:szCs w:val="24"/>
    </w:rPr>
  </w:style>
  <w:style w:type="paragraph" w:customStyle="1" w:styleId="29">
    <w:name w:val="A书三级"/>
    <w:basedOn w:val="28"/>
    <w:next w:val="1"/>
    <w:qFormat/>
    <w:uiPriority w:val="0"/>
    <w:pPr>
      <w:numPr>
        <w:ilvl w:val="2"/>
      </w:numPr>
      <w:spacing w:before="0"/>
      <w:outlineLvl w:val="2"/>
    </w:pPr>
    <w:rPr>
      <w:sz w:val="24"/>
    </w:rPr>
  </w:style>
  <w:style w:type="paragraph" w:customStyle="1" w:styleId="30">
    <w:name w:val="A书四级"/>
    <w:basedOn w:val="29"/>
    <w:next w:val="1"/>
    <w:qFormat/>
    <w:uiPriority w:val="0"/>
    <w:pPr>
      <w:numPr>
        <w:ilvl w:val="3"/>
      </w:numPr>
      <w:outlineLvl w:val="3"/>
    </w:pPr>
  </w:style>
  <w:style w:type="paragraph" w:customStyle="1" w:styleId="31">
    <w:name w:val="A书一级"/>
    <w:next w:val="1"/>
    <w:qFormat/>
    <w:uiPriority w:val="0"/>
    <w:pPr>
      <w:widowControl w:val="0"/>
      <w:numPr>
        <w:ilvl w:val="0"/>
        <w:numId w:val="2"/>
      </w:numPr>
      <w:spacing w:before="200" w:line="460" w:lineRule="exact"/>
      <w:outlineLvl w:val="0"/>
    </w:pPr>
    <w:rPr>
      <w:rFonts w:ascii="Times New Roman" w:hAnsi="Times New Roman" w:eastAsia="宋体" w:cs="Arial"/>
      <w:b/>
      <w:sz w:val="36"/>
      <w:lang w:val="en-US" w:eastAsia="zh-CN" w:bidi="ar-SA"/>
    </w:rPr>
  </w:style>
  <w:style w:type="paragraph" w:customStyle="1" w:styleId="32">
    <w:name w:val="A书正文"/>
    <w:qFormat/>
    <w:uiPriority w:val="0"/>
    <w:pPr>
      <w:widowControl w:val="0"/>
      <w:adjustRightInd w:val="0"/>
      <w:snapToGrid w:val="0"/>
      <w:spacing w:line="460" w:lineRule="exact"/>
      <w:ind w:firstLine="200" w:firstLineChars="200"/>
      <w:jc w:val="both"/>
    </w:pPr>
    <w:rPr>
      <w:rFonts w:ascii="Times New Roman" w:hAnsi="Times New Roman" w:eastAsia="宋体" w:cs="Arial"/>
      <w:kern w:val="2"/>
      <w:sz w:val="24"/>
      <w:szCs w:val="24"/>
      <w:lang w:val="en-US" w:eastAsia="zh-CN" w:bidi="ar-SA"/>
    </w:rPr>
  </w:style>
  <w:style w:type="table" w:customStyle="1" w:styleId="33">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5">
    <w:name w:val="页眉 字符"/>
    <w:basedOn w:val="16"/>
    <w:link w:val="12"/>
    <w:qFormat/>
    <w:uiPriority w:val="99"/>
    <w:rPr>
      <w:rFonts w:ascii="Times New Roman" w:hAnsi="Times New Roman" w:eastAsia="宋体"/>
      <w:kern w:val="2"/>
      <w:sz w:val="18"/>
      <w:szCs w:val="18"/>
    </w:rPr>
  </w:style>
  <w:style w:type="character" w:customStyle="1" w:styleId="36">
    <w:name w:val="页脚 字符"/>
    <w:basedOn w:val="16"/>
    <w:link w:val="11"/>
    <w:qFormat/>
    <w:uiPriority w:val="99"/>
    <w:rPr>
      <w:rFonts w:ascii="Times New Roman" w:hAnsi="Times New Roman" w:eastAsia="宋体"/>
      <w:kern w:val="2"/>
      <w:sz w:val="18"/>
      <w:szCs w:val="18"/>
    </w:rPr>
  </w:style>
  <w:style w:type="character" w:customStyle="1" w:styleId="37">
    <w:name w:val="正文文本缩进 2 字符"/>
    <w:basedOn w:val="16"/>
    <w:link w:val="10"/>
    <w:qFormat/>
    <w:uiPriority w:val="0"/>
    <w:rPr>
      <w:rFonts w:ascii="Calibri" w:hAnsi="Calibri" w:eastAsia="宋体"/>
      <w:kern w:val="2"/>
      <w:sz w:val="24"/>
      <w:szCs w:val="22"/>
    </w:rPr>
  </w:style>
  <w:style w:type="character" w:customStyle="1" w:styleId="38">
    <w:name w:val="批注文字 字符"/>
    <w:basedOn w:val="16"/>
    <w:link w:val="9"/>
    <w:semiHidden/>
    <w:qFormat/>
    <w:uiPriority w:val="99"/>
    <w:rPr>
      <w:rFonts w:ascii="Times New Roman" w:hAnsi="Times New Roman" w:eastAsia="宋体"/>
      <w:kern w:val="2"/>
      <w:sz w:val="24"/>
      <w:szCs w:val="22"/>
    </w:rPr>
  </w:style>
  <w:style w:type="character" w:customStyle="1" w:styleId="39">
    <w:name w:val="批注主题 字符"/>
    <w:basedOn w:val="38"/>
    <w:link w:val="13"/>
    <w:semiHidden/>
    <w:qFormat/>
    <w:uiPriority w:val="99"/>
    <w:rPr>
      <w:rFonts w:ascii="Times New Roman" w:hAnsi="Times New Roman" w:eastAsia="宋体"/>
      <w:b/>
      <w:bCs/>
      <w:kern w:val="2"/>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2371</Words>
  <Characters>2469</Characters>
  <Lines>30</Lines>
  <Paragraphs>8</Paragraphs>
  <TotalTime>3</TotalTime>
  <ScaleCrop>false</ScaleCrop>
  <LinksUpToDate>false</LinksUpToDate>
  <CharactersWithSpaces>2474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2025-12-09T00:31:00Z</dcterms:created>
  <dc:creator>科伟 王</dc:creator>
  <cp:lastModifiedBy>浅笑安然</cp:lastModifiedBy>
  <dcterms:modified xsi:type="dcterms:W3CDTF">2026-05-15T05:41:54Z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D8E92E95C5834017B236A10B14B00D03_13</vt:lpwstr>
  </property>
  <property fmtid="{D5CDD505-2E9C-101B-9397-08002B2CF9AE}" pid="4" name="KSOTemplateDocerSaveRecord">
    <vt:lpwstr>eyJoZGlkIjoiOGNkNmE1YTBjMzBhZjY2ZDM3ZDQ0ZDk0NDk2ODI4MmUiLCJ1c2VySWQiOiIxMTU4MjI3MTUzIn0=</vt:lpwstr>
  </property>
</Properties>
</file>